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68D" w:rsidRPr="0040768D" w:rsidRDefault="0040768D" w:rsidP="0040768D">
      <w:pPr>
        <w:pStyle w:val="Titre1"/>
      </w:pPr>
      <w:r w:rsidRPr="0040768D">
        <w:t>Propriétés pharmacologiques</w:t>
      </w:r>
    </w:p>
    <w:p w:rsidR="0040768D" w:rsidRPr="0040768D" w:rsidRDefault="0040768D" w:rsidP="0040768D">
      <w:pPr>
        <w:pStyle w:val="Titre2"/>
      </w:pPr>
      <w:r w:rsidRPr="0040768D">
        <w:t>Pharmacodynamie – pharmacocinétique</w:t>
      </w:r>
    </w:p>
    <w:p w:rsidR="0040768D" w:rsidRPr="0040768D" w:rsidRDefault="0040768D" w:rsidP="00D444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 xml:space="preserve">La cinétique du N2O détermine trois de ses caractéristiques majeures : </w:t>
      </w:r>
    </w:p>
    <w:p w:rsidR="0040768D" w:rsidRPr="0040768D" w:rsidRDefault="0040768D" w:rsidP="00D444E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 xml:space="preserve">la vitesse d'induction, c'est-à-dire la possibilité d'induire l'anesthésie au masque ; </w:t>
      </w:r>
    </w:p>
    <w:p w:rsidR="0040768D" w:rsidRPr="0040768D" w:rsidRDefault="0040768D" w:rsidP="00D444E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 xml:space="preserve">sa diffusion dans les cavités closes ; </w:t>
      </w:r>
    </w:p>
    <w:p w:rsidR="0040768D" w:rsidRPr="0040768D" w:rsidRDefault="0040768D" w:rsidP="00D444E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>la vitesse du réveil, c'est-à-dire la possibilité de l'utiliser chez le patient ambulatoire</w:t>
      </w:r>
    </w:p>
    <w:p w:rsidR="0040768D" w:rsidRPr="0040768D" w:rsidRDefault="00D444E2" w:rsidP="00D444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</w:rPr>
      </w:pPr>
      <w:r w:rsidRPr="00D444E2">
        <w:rPr>
          <w:rFonts w:ascii="Arial" w:hAnsi="Arial" w:cs="Arial"/>
          <w:b/>
          <w:kern w:val="24"/>
        </w:rPr>
        <w:t>L’absorption</w:t>
      </w:r>
      <w:r w:rsidR="0040768D" w:rsidRPr="0040768D">
        <w:rPr>
          <w:rFonts w:ascii="Arial" w:hAnsi="Arial" w:cs="Arial"/>
          <w:kern w:val="24"/>
        </w:rPr>
        <w:t xml:space="preserve"> se fait très rapidement par voie pulmonaire (gaz inhalé). </w:t>
      </w:r>
    </w:p>
    <w:p w:rsidR="0040768D" w:rsidRPr="0040768D" w:rsidRDefault="0040768D" w:rsidP="00D444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 xml:space="preserve">La concentration alvéolaire du N2O approche la concentration inhalée en quelques minutes car grande </w:t>
      </w:r>
      <w:proofErr w:type="spellStart"/>
      <w:r w:rsidRPr="0040768D">
        <w:rPr>
          <w:rFonts w:ascii="Arial" w:hAnsi="Arial" w:cs="Arial"/>
          <w:kern w:val="24"/>
        </w:rPr>
        <w:t>diffusibilité</w:t>
      </w:r>
      <w:proofErr w:type="spellEnd"/>
      <w:r w:rsidRPr="0040768D">
        <w:rPr>
          <w:rFonts w:ascii="Arial" w:hAnsi="Arial" w:cs="Arial"/>
          <w:kern w:val="24"/>
        </w:rPr>
        <w:t xml:space="preserve"> et faible solubilité. </w:t>
      </w:r>
    </w:p>
    <w:p w:rsidR="0040768D" w:rsidRPr="0040768D" w:rsidRDefault="0040768D" w:rsidP="00D444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 xml:space="preserve">La </w:t>
      </w:r>
      <w:r w:rsidRPr="00D444E2">
        <w:rPr>
          <w:rFonts w:ascii="Arial" w:hAnsi="Arial" w:cs="Arial"/>
          <w:b/>
          <w:kern w:val="24"/>
        </w:rPr>
        <w:t>distribution</w:t>
      </w:r>
      <w:r w:rsidRPr="0040768D">
        <w:rPr>
          <w:rFonts w:ascii="Arial" w:hAnsi="Arial" w:cs="Arial"/>
          <w:kern w:val="24"/>
        </w:rPr>
        <w:t xml:space="preserve"> se fait ensuite uniquement sous forme dissoute dans le sang (absence de combinaison sur l’hémoglobine) vers les tissus richement vascularisés, surtout cerveau.</w:t>
      </w:r>
    </w:p>
    <w:p w:rsidR="0040768D" w:rsidRPr="0040768D" w:rsidRDefault="0040768D" w:rsidP="00D444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 xml:space="preserve">Pas de </w:t>
      </w:r>
      <w:r w:rsidRPr="00D444E2">
        <w:rPr>
          <w:rFonts w:ascii="Arial" w:hAnsi="Arial" w:cs="Arial"/>
          <w:b/>
          <w:kern w:val="24"/>
        </w:rPr>
        <w:t>métabolisme</w:t>
      </w:r>
      <w:r w:rsidRPr="0040768D">
        <w:rPr>
          <w:rFonts w:ascii="Arial" w:hAnsi="Arial" w:cs="Arial"/>
          <w:kern w:val="24"/>
        </w:rPr>
        <w:t>, élimination pulmonaire.</w:t>
      </w:r>
    </w:p>
    <w:p w:rsidR="00D444E2" w:rsidRPr="00D444E2" w:rsidRDefault="00D444E2" w:rsidP="00D444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</w:rPr>
      </w:pPr>
    </w:p>
    <w:p w:rsidR="0040768D" w:rsidRPr="0040768D" w:rsidRDefault="0040768D" w:rsidP="00D444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>Gaz incolore, inodore, avec discrète saveur sucrée et qui est dépresseur du système nerveux central avec un effet dose-dépendant.</w:t>
      </w:r>
    </w:p>
    <w:p w:rsidR="0040768D" w:rsidRPr="0040768D" w:rsidRDefault="0040768D" w:rsidP="00D444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 xml:space="preserve">Effet anesthésique à CAM =104 </w:t>
      </w:r>
      <w:r w:rsidR="00D444E2" w:rsidRPr="0040768D">
        <w:rPr>
          <w:rFonts w:ascii="Arial" w:hAnsi="Arial" w:cs="Arial"/>
          <w:kern w:val="24"/>
        </w:rPr>
        <w:t xml:space="preserve">%. </w:t>
      </w:r>
    </w:p>
    <w:p w:rsidR="0040768D" w:rsidRPr="0040768D" w:rsidRDefault="0040768D" w:rsidP="00D444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 xml:space="preserve">Ne peut être utilisé sans oxygène pour une AG. </w:t>
      </w:r>
    </w:p>
    <w:p w:rsidR="0040768D" w:rsidRPr="0040768D" w:rsidRDefault="0040768D" w:rsidP="00D444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>Le faible coefficient de solubilité dans l’eau ou l’huile explique un début d’action et une élimination rapides à l’arrêt de toute administration.</w:t>
      </w:r>
    </w:p>
    <w:p w:rsidR="00D444E2" w:rsidRDefault="00D444E2" w:rsidP="0040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4"/>
        </w:rPr>
      </w:pPr>
    </w:p>
    <w:p w:rsidR="0040768D" w:rsidRPr="0040768D" w:rsidRDefault="0040768D" w:rsidP="00D444E2">
      <w:pPr>
        <w:pStyle w:val="Titre2"/>
      </w:pPr>
      <w:r w:rsidRPr="0040768D">
        <w:t xml:space="preserve">Effet deuxième gaz. </w:t>
      </w:r>
    </w:p>
    <w:p w:rsidR="0040768D" w:rsidRPr="0040768D" w:rsidRDefault="0040768D" w:rsidP="0040768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 xml:space="preserve">Si association avec d’autres agents volatils (halogénés notamment) Il s’agit des modifications de composition d’un mélange gazeux au sein de l’alvéole pulmonaire. </w:t>
      </w:r>
    </w:p>
    <w:p w:rsidR="0040768D" w:rsidRPr="0040768D" w:rsidRDefault="0040768D" w:rsidP="0040768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>Ainsi, le protoxyde d’azote diffuse plus vite de l’alvéole au compartiment sanguin lorsqu’il est ajouté secondairement à un mélange de gaz contenant un agent halogéné.</w:t>
      </w:r>
    </w:p>
    <w:p w:rsidR="0040768D" w:rsidRPr="0040768D" w:rsidRDefault="0040768D" w:rsidP="0040768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 xml:space="preserve">La concentration de cet halogéné est alors augmenté, ce qui permettrait d’accélérer la vitesse d’induction. </w:t>
      </w:r>
    </w:p>
    <w:p w:rsidR="0040768D" w:rsidRPr="0040768D" w:rsidRDefault="0040768D" w:rsidP="0040768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 xml:space="preserve">Ceci est vrai même à bas débit de gaz frais. </w:t>
      </w:r>
    </w:p>
    <w:p w:rsidR="0040768D" w:rsidRPr="0040768D" w:rsidRDefault="0040768D" w:rsidP="0040768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 xml:space="preserve">À l’inverse, à l’arrêt de l’administration de protoxyde d’azote, les concentrations alvéolaires s’élèvent rapidement par une diffusion rapide du sang vers l’alvéole et peuvent conduire à une hypoxémie en cas d’hypoventilation d’adjonction alvéolaire et/ou en l’absence d’oxygène au mélange de gaz inspiré. </w:t>
      </w:r>
    </w:p>
    <w:p w:rsidR="0040768D" w:rsidRPr="0040768D" w:rsidRDefault="0040768D" w:rsidP="0040768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>Ce phénomène d’hypoxémie de diffusion est à l’origine d’une morbidité anesthésique non négligeable par le passé mais encore rencontrée de nos jours.</w:t>
      </w:r>
    </w:p>
    <w:p w:rsidR="00D444E2" w:rsidRDefault="00D444E2" w:rsidP="00D444E2">
      <w:pPr>
        <w:pStyle w:val="Titre3"/>
      </w:pPr>
    </w:p>
    <w:p w:rsidR="0040768D" w:rsidRPr="0040768D" w:rsidRDefault="0040768D" w:rsidP="00D444E2">
      <w:pPr>
        <w:pStyle w:val="Titre2"/>
      </w:pPr>
      <w:r w:rsidRPr="0040768D">
        <w:t>Propriétés anesthésiques</w:t>
      </w:r>
    </w:p>
    <w:p w:rsidR="0040768D" w:rsidRPr="0040768D" w:rsidRDefault="0040768D" w:rsidP="0040768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>Faible pouvoir anesthésique =&gt; adjuvant des anesthésiques, (inhalé +++).</w:t>
      </w:r>
    </w:p>
    <w:p w:rsidR="0040768D" w:rsidRPr="0040768D" w:rsidRDefault="0040768D" w:rsidP="0040768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 xml:space="preserve">Épargne ≈ 30 % les halogénés </w:t>
      </w:r>
    </w:p>
    <w:p w:rsidR="0040768D" w:rsidRPr="0040768D" w:rsidRDefault="0040768D" w:rsidP="0040768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>Épargne ≈ 25 % propofol</w:t>
      </w:r>
    </w:p>
    <w:p w:rsidR="0040768D" w:rsidRPr="0040768D" w:rsidRDefault="0040768D" w:rsidP="0040768D">
      <w:pPr>
        <w:autoSpaceDE w:val="0"/>
        <w:autoSpaceDN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</w:rPr>
      </w:pPr>
    </w:p>
    <w:p w:rsidR="0040768D" w:rsidRPr="0040768D" w:rsidRDefault="0040768D" w:rsidP="0040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24"/>
        </w:rPr>
      </w:pPr>
      <w:r w:rsidRPr="0040768D">
        <w:rPr>
          <w:rFonts w:ascii="Arial" w:hAnsi="Arial" w:cs="Arial"/>
          <w:kern w:val="24"/>
        </w:rPr>
        <w:t xml:space="preserve">=&gt; </w:t>
      </w:r>
      <w:r w:rsidRPr="0040768D">
        <w:rPr>
          <w:rFonts w:ascii="Arial" w:hAnsi="Arial" w:cs="Arial"/>
          <w:i/>
          <w:iCs/>
          <w:kern w:val="24"/>
        </w:rPr>
        <w:t>Économie de 20 % du coût pharmacologique de l’anesthésie.</w:t>
      </w:r>
    </w:p>
    <w:p w:rsidR="0040768D" w:rsidRPr="0040768D" w:rsidRDefault="0040768D" w:rsidP="0040768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>Trois cibles du protoxyde d’azote ont été récemment suggérées.</w:t>
      </w:r>
    </w:p>
    <w:p w:rsidR="0040768D" w:rsidRPr="0040768D" w:rsidRDefault="0040768D" w:rsidP="00D444E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 xml:space="preserve">Facilitation de la neurotransmission </w:t>
      </w:r>
      <w:proofErr w:type="spellStart"/>
      <w:r w:rsidRPr="0040768D">
        <w:rPr>
          <w:rFonts w:ascii="Arial" w:hAnsi="Arial" w:cs="Arial"/>
          <w:kern w:val="24"/>
        </w:rPr>
        <w:t>GABAergique</w:t>
      </w:r>
      <w:proofErr w:type="spellEnd"/>
      <w:r w:rsidRPr="0040768D">
        <w:rPr>
          <w:rFonts w:ascii="Arial" w:hAnsi="Arial" w:cs="Arial"/>
          <w:kern w:val="24"/>
        </w:rPr>
        <w:t xml:space="preserve"> inhibitrice par une action directe du protoxyde d’azote sur la sous-unité alpha des récepteurs aux benzodiazépines (canal ionique à 5 sous-unités ligand-dépendant). </w:t>
      </w:r>
    </w:p>
    <w:p w:rsidR="0040768D" w:rsidRPr="0040768D" w:rsidRDefault="0040768D" w:rsidP="00D444E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>Hyperpolarisation du neurone par   de la conductance potassique après activation des K+</w:t>
      </w:r>
    </w:p>
    <w:p w:rsidR="0040768D" w:rsidRPr="00D444E2" w:rsidRDefault="0040768D" w:rsidP="00D444E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24"/>
        </w:rPr>
      </w:pPr>
      <w:r w:rsidRPr="0040768D">
        <w:rPr>
          <w:rFonts w:ascii="Arial" w:hAnsi="Arial" w:cs="Arial"/>
          <w:kern w:val="24"/>
        </w:rPr>
        <w:lastRenderedPageBreak/>
        <w:t>Action sur les récepteur NMDA (inhibition par le N2O) = inhibition des courants transmembranaires.</w:t>
      </w:r>
    </w:p>
    <w:p w:rsidR="00D444E2" w:rsidRPr="0040768D" w:rsidRDefault="00D444E2" w:rsidP="00D444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kern w:val="24"/>
        </w:rPr>
      </w:pPr>
      <w:r w:rsidRPr="00D444E2">
        <w:rPr>
          <w:rFonts w:ascii="Arial" w:hAnsi="Arial" w:cs="Arial"/>
          <w:i/>
          <w:iCs/>
          <w:kern w:val="24"/>
        </w:rPr>
        <w:drawing>
          <wp:inline distT="0" distB="0" distL="0" distR="0" wp14:anchorId="555E88C6" wp14:editId="26B2073F">
            <wp:extent cx="3857625" cy="3451559"/>
            <wp:effectExtent l="0" t="0" r="0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929" cy="3452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68D" w:rsidRPr="0040768D" w:rsidRDefault="0040768D" w:rsidP="00D444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>Trois cibles du protoxyde d’azote ont été récemment suggérées.</w:t>
      </w:r>
    </w:p>
    <w:p w:rsidR="0040768D" w:rsidRPr="0040768D" w:rsidRDefault="0040768D" w:rsidP="00D444E2">
      <w:pPr>
        <w:pStyle w:val="Titre2"/>
      </w:pPr>
      <w:r w:rsidRPr="0040768D">
        <w:t>Propriétés analgésiques</w:t>
      </w:r>
    </w:p>
    <w:p w:rsidR="0040768D" w:rsidRPr="0040768D" w:rsidRDefault="0040768D" w:rsidP="00D444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 xml:space="preserve">Effet analgésique est dose-dépendant et apparaît à partir d’une concentration inspirée de 10 %. </w:t>
      </w:r>
    </w:p>
    <w:p w:rsidR="0040768D" w:rsidRPr="0040768D" w:rsidRDefault="0040768D" w:rsidP="00D444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>Au-delà de 40 %, l’action hypnotique du gaz prédomine</w:t>
      </w:r>
    </w:p>
    <w:p w:rsidR="0040768D" w:rsidRPr="0040768D" w:rsidRDefault="0040768D" w:rsidP="00D444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>L’équivalence analgésique [N2O] à 20% = 15 mg morphine en S/C.</w:t>
      </w:r>
    </w:p>
    <w:p w:rsidR="0040768D" w:rsidRPr="0040768D" w:rsidRDefault="0040768D" w:rsidP="00D444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 xml:space="preserve">Tolérance rapide aux effets analgésiques : </w:t>
      </w:r>
    </w:p>
    <w:p w:rsidR="0040768D" w:rsidRPr="0040768D" w:rsidRDefault="0040768D" w:rsidP="0040768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>Effet maximal après 20-30 mn</w:t>
      </w:r>
    </w:p>
    <w:p w:rsidR="0040768D" w:rsidRPr="0040768D" w:rsidRDefault="0040768D" w:rsidP="0040768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>Disparait après 150 minutes d’exposition.</w:t>
      </w:r>
    </w:p>
    <w:p w:rsidR="0040768D" w:rsidRPr="0040768D" w:rsidRDefault="0040768D" w:rsidP="0040768D">
      <w:pPr>
        <w:autoSpaceDE w:val="0"/>
        <w:autoSpaceDN w:val="0"/>
        <w:adjustRightInd w:val="0"/>
        <w:spacing w:after="0" w:line="240" w:lineRule="auto"/>
        <w:ind w:left="720" w:hanging="288"/>
        <w:rPr>
          <w:rFonts w:ascii="Arial" w:hAnsi="Arial" w:cs="Arial"/>
          <w:kern w:val="24"/>
        </w:rPr>
      </w:pPr>
    </w:p>
    <w:p w:rsidR="0040768D" w:rsidRDefault="0040768D" w:rsidP="00D444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 xml:space="preserve">Ces phénomènes analgésiques sont liés à une action </w:t>
      </w:r>
      <w:r w:rsidRPr="0040768D">
        <w:rPr>
          <w:rFonts w:ascii="Arial" w:hAnsi="Arial" w:cs="Arial"/>
          <w:b/>
          <w:bCs/>
          <w:kern w:val="24"/>
        </w:rPr>
        <w:t>spinale</w:t>
      </w:r>
      <w:r w:rsidRPr="0040768D">
        <w:rPr>
          <w:rFonts w:ascii="Arial" w:hAnsi="Arial" w:cs="Arial"/>
          <w:kern w:val="24"/>
        </w:rPr>
        <w:t xml:space="preserve"> </w:t>
      </w:r>
      <w:r w:rsidRPr="0040768D">
        <w:rPr>
          <w:rFonts w:ascii="Arial" w:hAnsi="Arial" w:cs="Arial"/>
          <w:b/>
          <w:bCs/>
          <w:kern w:val="24"/>
        </w:rPr>
        <w:t xml:space="preserve">et/ou </w:t>
      </w:r>
      <w:proofErr w:type="spellStart"/>
      <w:r w:rsidRPr="0040768D">
        <w:rPr>
          <w:rFonts w:ascii="Arial" w:hAnsi="Arial" w:cs="Arial"/>
          <w:b/>
          <w:bCs/>
          <w:kern w:val="24"/>
        </w:rPr>
        <w:t>supraspinale</w:t>
      </w:r>
      <w:proofErr w:type="spellEnd"/>
      <w:r w:rsidRPr="0040768D">
        <w:rPr>
          <w:rFonts w:ascii="Arial" w:hAnsi="Arial" w:cs="Arial"/>
          <w:b/>
          <w:bCs/>
          <w:kern w:val="24"/>
        </w:rPr>
        <w:t xml:space="preserve"> </w:t>
      </w:r>
      <w:r w:rsidRPr="0040768D">
        <w:rPr>
          <w:rFonts w:ascii="Arial" w:hAnsi="Arial" w:cs="Arial"/>
          <w:kern w:val="24"/>
        </w:rPr>
        <w:t>avec intervention probable des voies opioïdes (réversibilité de l’analgésie après administration de naloxone)</w:t>
      </w:r>
    </w:p>
    <w:p w:rsidR="00D444E2" w:rsidRPr="0040768D" w:rsidRDefault="00D444E2" w:rsidP="00D444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4"/>
        </w:rPr>
      </w:pPr>
      <w:r w:rsidRPr="00D444E2">
        <w:rPr>
          <w:rFonts w:ascii="Arial" w:hAnsi="Arial" w:cs="Arial"/>
          <w:kern w:val="24"/>
        </w:rPr>
        <w:lastRenderedPageBreak/>
        <w:drawing>
          <wp:inline distT="0" distB="0" distL="0" distR="0" wp14:anchorId="404EF782" wp14:editId="6341A24F">
            <wp:extent cx="5147022" cy="4215130"/>
            <wp:effectExtent l="0" t="0" r="0" b="0"/>
            <wp:docPr id="1" name="Espace réservé du contenu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pace réservé du contenu 4"/>
                    <pic:cNvPicPr>
                      <a:picLocks noGrp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331" cy="421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68D" w:rsidRPr="0040768D" w:rsidRDefault="0040768D" w:rsidP="00D444E2">
      <w:pPr>
        <w:pStyle w:val="Titre2"/>
      </w:pPr>
      <w:r w:rsidRPr="0040768D">
        <w:t>Effets secondaires indésirables</w:t>
      </w:r>
    </w:p>
    <w:p w:rsidR="0040768D" w:rsidRPr="0040768D" w:rsidRDefault="0040768D" w:rsidP="00D444E2">
      <w:pPr>
        <w:pStyle w:val="Titre3"/>
      </w:pPr>
      <w:r w:rsidRPr="0040768D">
        <w:t>Nausées - Vomissements postopératoires</w:t>
      </w:r>
    </w:p>
    <w:p w:rsidR="0040768D" w:rsidRPr="0040768D" w:rsidRDefault="0040768D" w:rsidP="0040768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>l’augmentation de l’incidence des NVPO (chirurgie gynécologique +++</w:t>
      </w:r>
      <w:proofErr w:type="gramStart"/>
      <w:r w:rsidRPr="0040768D">
        <w:rPr>
          <w:rFonts w:ascii="Arial" w:hAnsi="Arial" w:cs="Arial"/>
          <w:kern w:val="24"/>
        </w:rPr>
        <w:t>) ,</w:t>
      </w:r>
      <w:proofErr w:type="gramEnd"/>
    </w:p>
    <w:p w:rsidR="0040768D" w:rsidRPr="0040768D" w:rsidRDefault="0040768D" w:rsidP="0040768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>Relation entre l’augmentation des pressions dans l’oreille moyenne et l’incidence des NVPO.</w:t>
      </w:r>
    </w:p>
    <w:p w:rsidR="0040768D" w:rsidRPr="0040768D" w:rsidRDefault="0040768D" w:rsidP="0040768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>Traitement préventif visant à limiter les NVPO pourrait éviter cet effet indésirable</w:t>
      </w:r>
    </w:p>
    <w:p w:rsidR="0040768D" w:rsidRPr="0040768D" w:rsidRDefault="0040768D" w:rsidP="0040768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>les NVPO ne semblent pas être un argument majeur motivant le retrait du N2O,</w:t>
      </w:r>
    </w:p>
    <w:p w:rsidR="00D444E2" w:rsidRDefault="00D444E2" w:rsidP="0040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4"/>
        </w:rPr>
      </w:pPr>
    </w:p>
    <w:p w:rsidR="0040768D" w:rsidRPr="0040768D" w:rsidRDefault="0040768D" w:rsidP="00D444E2">
      <w:pPr>
        <w:pStyle w:val="Titre3"/>
      </w:pPr>
      <w:r w:rsidRPr="0040768D">
        <w:t xml:space="preserve">Diffusion au sein des cavités closes </w:t>
      </w:r>
    </w:p>
    <w:p w:rsidR="0040768D" w:rsidRPr="0040768D" w:rsidRDefault="0040768D" w:rsidP="0040768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>N2O hautement diffusible = coefficient de partage sang-gaz à 0,46 est un (30 &gt; N2).</w:t>
      </w:r>
    </w:p>
    <w:p w:rsidR="0040768D" w:rsidRPr="0040768D" w:rsidRDefault="0040768D" w:rsidP="0040768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>=&gt; augmentation du volume de cavités expansibles (tube digestif, etc.) dès 30 minutes augmentation des pressions dans les cavités aériques non expansibles (</w:t>
      </w:r>
      <w:r w:rsidRPr="0040768D">
        <w:rPr>
          <w:rFonts w:ascii="Arial" w:hAnsi="Arial" w:cs="Arial"/>
          <w:b/>
          <w:bCs/>
          <w:kern w:val="24"/>
        </w:rPr>
        <w:t>sinus, oreille moyenne</w:t>
      </w:r>
      <w:r w:rsidRPr="0040768D">
        <w:rPr>
          <w:rFonts w:ascii="Arial" w:hAnsi="Arial" w:cs="Arial"/>
          <w:kern w:val="24"/>
        </w:rPr>
        <w:t xml:space="preserve">). </w:t>
      </w:r>
    </w:p>
    <w:p w:rsidR="0040768D" w:rsidRPr="0040768D" w:rsidRDefault="0040768D" w:rsidP="0040768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>Utilisation de sondes d’intubation avec des ballonnets « hauts volumes-basse pression » et monitorage de la pression du ballonnet.</w:t>
      </w:r>
    </w:p>
    <w:p w:rsidR="00D444E2" w:rsidRDefault="00D444E2" w:rsidP="00D444E2">
      <w:pPr>
        <w:pStyle w:val="Titre3"/>
      </w:pPr>
    </w:p>
    <w:p w:rsidR="0040768D" w:rsidRPr="0040768D" w:rsidRDefault="0040768D" w:rsidP="00D444E2">
      <w:pPr>
        <w:pStyle w:val="Titre3"/>
      </w:pPr>
      <w:r w:rsidRPr="0040768D">
        <w:t xml:space="preserve">Hémodynamiques </w:t>
      </w:r>
    </w:p>
    <w:p w:rsidR="0040768D" w:rsidRPr="0040768D" w:rsidRDefault="0040768D" w:rsidP="0040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>Aucun effet Notable</w:t>
      </w:r>
    </w:p>
    <w:p w:rsidR="0040768D" w:rsidRPr="0040768D" w:rsidRDefault="0040768D" w:rsidP="0040768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 xml:space="preserve">Précaution envers les patients à risque de déficit en vitamine B12 comme en cobalamine ou ceux présentant un déficit en 5-méthyltétrahydrofolate (état </w:t>
      </w:r>
      <w:proofErr w:type="spellStart"/>
      <w:r w:rsidRPr="0040768D">
        <w:rPr>
          <w:rFonts w:ascii="Arial" w:hAnsi="Arial" w:cs="Arial"/>
          <w:kern w:val="24"/>
        </w:rPr>
        <w:t>procoagulant</w:t>
      </w:r>
      <w:proofErr w:type="spellEnd"/>
      <w:r w:rsidRPr="0040768D">
        <w:rPr>
          <w:rFonts w:ascii="Arial" w:hAnsi="Arial" w:cs="Arial"/>
          <w:kern w:val="24"/>
        </w:rPr>
        <w:t xml:space="preserve"> par l’</w:t>
      </w:r>
      <w:proofErr w:type="spellStart"/>
      <w:r w:rsidRPr="0040768D">
        <w:rPr>
          <w:rFonts w:ascii="Arial" w:hAnsi="Arial" w:cs="Arial"/>
          <w:kern w:val="24"/>
        </w:rPr>
        <w:t>hyperhomocystéinémie</w:t>
      </w:r>
      <w:proofErr w:type="spellEnd"/>
      <w:r w:rsidRPr="0040768D">
        <w:rPr>
          <w:rFonts w:ascii="Arial" w:hAnsi="Arial" w:cs="Arial"/>
          <w:kern w:val="24"/>
        </w:rPr>
        <w:t xml:space="preserve"> consécutive à l’inhibition de la méthionine-synthétase </w:t>
      </w:r>
      <w:r w:rsidRPr="0040768D">
        <w:rPr>
          <w:rFonts w:ascii="Arial" w:hAnsi="Arial" w:cs="Arial"/>
          <w:i/>
          <w:iCs/>
          <w:kern w:val="24"/>
        </w:rPr>
        <w:t>probable</w:t>
      </w:r>
      <w:r w:rsidRPr="0040768D">
        <w:rPr>
          <w:rFonts w:ascii="Arial" w:hAnsi="Arial" w:cs="Arial"/>
          <w:kern w:val="24"/>
        </w:rPr>
        <w:t>).</w:t>
      </w:r>
    </w:p>
    <w:p w:rsidR="0040768D" w:rsidRPr="0040768D" w:rsidRDefault="0040768D" w:rsidP="004076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>Effets secondaires indésirables</w:t>
      </w:r>
    </w:p>
    <w:p w:rsidR="00D444E2" w:rsidRDefault="00D444E2" w:rsidP="0040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4"/>
        </w:rPr>
      </w:pPr>
    </w:p>
    <w:p w:rsidR="0040768D" w:rsidRPr="0040768D" w:rsidRDefault="0040768D" w:rsidP="00D444E2">
      <w:pPr>
        <w:pStyle w:val="Titre3"/>
      </w:pPr>
      <w:r w:rsidRPr="0040768D">
        <w:t>Hypoxémie de diffusion</w:t>
      </w:r>
    </w:p>
    <w:p w:rsidR="0040768D" w:rsidRPr="0040768D" w:rsidRDefault="0040768D" w:rsidP="0040768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>À l’arrêt du N2O, le transfert très rapide vers les alvéoles modifie la pression PaO2 = hypoxémie transitoire =&gt; FiO2 = 100 %.</w:t>
      </w:r>
    </w:p>
    <w:p w:rsidR="00D444E2" w:rsidRDefault="00D444E2" w:rsidP="00D444E2">
      <w:pPr>
        <w:pStyle w:val="Titre3"/>
      </w:pPr>
    </w:p>
    <w:p w:rsidR="0040768D" w:rsidRPr="0040768D" w:rsidRDefault="0040768D" w:rsidP="00D444E2">
      <w:pPr>
        <w:pStyle w:val="Titre3"/>
      </w:pPr>
      <w:r w:rsidRPr="0040768D">
        <w:t>Circulation cérébrale</w:t>
      </w:r>
    </w:p>
    <w:p w:rsidR="0040768D" w:rsidRPr="0040768D" w:rsidRDefault="0040768D" w:rsidP="0040768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 xml:space="preserve">Administré à [50 </w:t>
      </w:r>
      <w:r w:rsidR="00D444E2" w:rsidRPr="0040768D">
        <w:rPr>
          <w:rFonts w:ascii="Arial" w:hAnsi="Arial" w:cs="Arial"/>
          <w:kern w:val="24"/>
        </w:rPr>
        <w:t>%]</w:t>
      </w:r>
      <w:r w:rsidRPr="0040768D">
        <w:rPr>
          <w:rFonts w:ascii="Arial" w:hAnsi="Arial" w:cs="Arial"/>
          <w:kern w:val="24"/>
        </w:rPr>
        <w:t xml:space="preserve"> + FiO2 à 30 % et en </w:t>
      </w:r>
      <w:proofErr w:type="spellStart"/>
      <w:r w:rsidRPr="0040768D">
        <w:rPr>
          <w:rFonts w:ascii="Arial" w:hAnsi="Arial" w:cs="Arial"/>
          <w:kern w:val="24"/>
        </w:rPr>
        <w:t>normocapnie</w:t>
      </w:r>
      <w:proofErr w:type="spellEnd"/>
      <w:r w:rsidRPr="0040768D">
        <w:rPr>
          <w:rFonts w:ascii="Arial" w:hAnsi="Arial" w:cs="Arial"/>
          <w:kern w:val="24"/>
        </w:rPr>
        <w:t xml:space="preserve">, le protoxyde d’azote induit une augmentation du débit sanguin cérébral, du métabolisme cérébral et de la pression intracrânienne. </w:t>
      </w:r>
    </w:p>
    <w:p w:rsidR="0040768D" w:rsidRPr="0040768D" w:rsidRDefault="0040768D" w:rsidP="003A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4"/>
        </w:rPr>
      </w:pPr>
      <w:r w:rsidRPr="0040768D">
        <w:rPr>
          <w:rFonts w:ascii="Arial" w:hAnsi="Arial" w:cs="Arial"/>
          <w:b/>
          <w:bCs/>
          <w:kern w:val="24"/>
        </w:rPr>
        <w:t>Déconseillé chez malade à risque (compliance réduite).</w:t>
      </w:r>
    </w:p>
    <w:p w:rsidR="0040768D" w:rsidRPr="0040768D" w:rsidRDefault="0040768D" w:rsidP="003A365F">
      <w:pPr>
        <w:pStyle w:val="Titre1"/>
      </w:pPr>
      <w:r w:rsidRPr="0040768D">
        <w:t>Précautions d’emploi</w:t>
      </w:r>
    </w:p>
    <w:p w:rsidR="0040768D" w:rsidRPr="0040768D" w:rsidRDefault="0040768D" w:rsidP="0040768D">
      <w:pPr>
        <w:autoSpaceDE w:val="0"/>
        <w:autoSpaceDN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</w:rPr>
      </w:pPr>
    </w:p>
    <w:p w:rsidR="0040768D" w:rsidRPr="0040768D" w:rsidRDefault="0040768D" w:rsidP="0040768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>C’est un comburant, c’est-à-dire qu’il se décompose en azote et oxygène si la température excède 450 °C.</w:t>
      </w:r>
    </w:p>
    <w:p w:rsidR="0040768D" w:rsidRPr="0040768D" w:rsidRDefault="0040768D" w:rsidP="0040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4"/>
        </w:rPr>
      </w:pPr>
      <w:r w:rsidRPr="0040768D">
        <w:rPr>
          <w:rFonts w:ascii="Arial" w:hAnsi="Arial" w:cs="Arial"/>
          <w:kern w:val="24"/>
        </w:rPr>
        <w:t>=&gt; l’éviter en cas de chirurgie au laser ou utilisation de bistouri électrique à proximité des voies aériennes ou de cavités dans lesquelles le protoxyde d’azote aurait diffusé</w:t>
      </w:r>
    </w:p>
    <w:p w:rsidR="0040768D" w:rsidRPr="0040768D" w:rsidRDefault="0040768D" w:rsidP="003A365F">
      <w:pPr>
        <w:pStyle w:val="Titre1"/>
      </w:pPr>
      <w:r w:rsidRPr="0040768D">
        <w:t>Toxicité et pollution</w:t>
      </w:r>
    </w:p>
    <w:p w:rsidR="0040768D" w:rsidRPr="0040768D" w:rsidRDefault="0040768D" w:rsidP="003A365F">
      <w:pPr>
        <w:pStyle w:val="Titre2"/>
      </w:pPr>
      <w:r w:rsidRPr="0040768D">
        <w:t>Toxicité neurologique</w:t>
      </w:r>
    </w:p>
    <w:p w:rsidR="0040768D" w:rsidRPr="0040768D" w:rsidRDefault="0040768D" w:rsidP="0040768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 xml:space="preserve">Les altérations observées sur les gaines de myéline surviennent pour des administrations d’N2O au long cours provoquant une </w:t>
      </w:r>
      <w:r w:rsidRPr="0040768D">
        <w:rPr>
          <w:rFonts w:ascii="Arial" w:hAnsi="Arial" w:cs="Arial"/>
          <w:b/>
          <w:bCs/>
          <w:kern w:val="24"/>
        </w:rPr>
        <w:t>polyneuropathie sensitivomotrice avec atteinte des cordons postérieurs et latéraux de la moelle par démyélinisation des fibres longues</w:t>
      </w:r>
      <w:r w:rsidRPr="0040768D">
        <w:rPr>
          <w:rFonts w:ascii="Arial" w:hAnsi="Arial" w:cs="Arial"/>
          <w:kern w:val="24"/>
        </w:rPr>
        <w:t xml:space="preserve">. </w:t>
      </w:r>
    </w:p>
    <w:p w:rsidR="0040768D" w:rsidRPr="0040768D" w:rsidRDefault="0040768D" w:rsidP="0040768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8" w:hanging="288"/>
        <w:rPr>
          <w:rFonts w:ascii="Arial" w:hAnsi="Arial" w:cs="Arial"/>
          <w:b/>
          <w:bCs/>
          <w:kern w:val="24"/>
        </w:rPr>
      </w:pPr>
      <w:r w:rsidRPr="0040768D">
        <w:rPr>
          <w:rFonts w:ascii="Arial" w:hAnsi="Arial" w:cs="Arial"/>
          <w:kern w:val="24"/>
        </w:rPr>
        <w:t xml:space="preserve">Risque accru d’atteinte neurologique </w:t>
      </w:r>
      <w:proofErr w:type="spellStart"/>
      <w:r w:rsidRPr="0040768D">
        <w:rPr>
          <w:rFonts w:ascii="Arial" w:hAnsi="Arial" w:cs="Arial"/>
          <w:kern w:val="24"/>
        </w:rPr>
        <w:t>démyélinisante</w:t>
      </w:r>
      <w:proofErr w:type="spellEnd"/>
      <w:r w:rsidRPr="0040768D">
        <w:rPr>
          <w:rFonts w:ascii="Arial" w:hAnsi="Arial" w:cs="Arial"/>
          <w:kern w:val="24"/>
        </w:rPr>
        <w:t xml:space="preserve"> après exposition répétée et chronique (toxicomanie) mais aussi en cas d’exposition unique au </w:t>
      </w:r>
      <w:r w:rsidR="00D444E2" w:rsidRPr="0040768D">
        <w:rPr>
          <w:rFonts w:ascii="Arial" w:hAnsi="Arial" w:cs="Arial"/>
          <w:kern w:val="24"/>
        </w:rPr>
        <w:t>N2O chez</w:t>
      </w:r>
      <w:r w:rsidRPr="0040768D">
        <w:rPr>
          <w:rFonts w:ascii="Arial" w:hAnsi="Arial" w:cs="Arial"/>
          <w:kern w:val="24"/>
        </w:rPr>
        <w:t xml:space="preserve"> les patients porteurs d’un </w:t>
      </w:r>
      <w:r w:rsidRPr="0040768D">
        <w:rPr>
          <w:rFonts w:ascii="Arial" w:hAnsi="Arial" w:cs="Arial"/>
          <w:b/>
          <w:bCs/>
          <w:kern w:val="24"/>
        </w:rPr>
        <w:t>déficit ou d’une carence sévère en vitamine B12</w:t>
      </w:r>
      <w:r w:rsidRPr="0040768D">
        <w:rPr>
          <w:rFonts w:ascii="Arial" w:hAnsi="Arial" w:cs="Arial"/>
          <w:kern w:val="24"/>
        </w:rPr>
        <w:t>.</w:t>
      </w:r>
    </w:p>
    <w:p w:rsidR="0040768D" w:rsidRPr="0040768D" w:rsidRDefault="0040768D" w:rsidP="0040768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 xml:space="preserve">L’existence d’un tableau neurologique compatible avec une atteinte des fibres </w:t>
      </w:r>
      <w:proofErr w:type="spellStart"/>
      <w:r w:rsidRPr="0040768D">
        <w:rPr>
          <w:rFonts w:ascii="Arial" w:hAnsi="Arial" w:cs="Arial"/>
          <w:kern w:val="24"/>
        </w:rPr>
        <w:t>myéliniques</w:t>
      </w:r>
      <w:proofErr w:type="spellEnd"/>
      <w:r w:rsidRPr="0040768D">
        <w:rPr>
          <w:rFonts w:ascii="Arial" w:hAnsi="Arial" w:cs="Arial"/>
          <w:kern w:val="24"/>
        </w:rPr>
        <w:t xml:space="preserve"> (troubles moteurs à type de parésies, troubles de la sensibilité, etc.) chez des sujets ayant été soumis à une administration de N2O unique prolongée ou répétée =&gt; possibilité d’une atteinte toxique potentiellement réversible et doit faire pratiquer un dosage de vitamine B12 ou d’homocystéine.</w:t>
      </w:r>
    </w:p>
    <w:p w:rsidR="0040768D" w:rsidRPr="0040768D" w:rsidRDefault="0040768D" w:rsidP="0040768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8" w:hanging="288"/>
        <w:rPr>
          <w:rFonts w:ascii="Arial" w:hAnsi="Arial" w:cs="Arial"/>
          <w:b/>
          <w:bCs/>
          <w:kern w:val="24"/>
        </w:rPr>
      </w:pPr>
      <w:r w:rsidRPr="0040768D">
        <w:rPr>
          <w:rFonts w:ascii="Arial" w:hAnsi="Arial" w:cs="Arial"/>
          <w:kern w:val="24"/>
        </w:rPr>
        <w:t xml:space="preserve">De la même façon, en préventif, il convient </w:t>
      </w:r>
      <w:r w:rsidRPr="0040768D">
        <w:rPr>
          <w:rFonts w:ascii="Arial" w:hAnsi="Arial" w:cs="Arial"/>
          <w:b/>
          <w:bCs/>
          <w:kern w:val="24"/>
        </w:rPr>
        <w:t>d’éviter</w:t>
      </w:r>
      <w:r w:rsidRPr="0040768D">
        <w:rPr>
          <w:rFonts w:ascii="Arial" w:hAnsi="Arial" w:cs="Arial"/>
          <w:kern w:val="24"/>
        </w:rPr>
        <w:t xml:space="preserve"> l’exposition longue au protoxyde d’azote (&gt; 6 h) chez les sujets à risque (</w:t>
      </w:r>
      <w:r w:rsidRPr="0040768D">
        <w:rPr>
          <w:rFonts w:ascii="Arial" w:hAnsi="Arial" w:cs="Arial"/>
          <w:b/>
          <w:bCs/>
          <w:kern w:val="24"/>
        </w:rPr>
        <w:t>dénutrition</w:t>
      </w:r>
      <w:r w:rsidRPr="0040768D">
        <w:rPr>
          <w:rFonts w:ascii="Arial" w:hAnsi="Arial" w:cs="Arial"/>
          <w:kern w:val="24"/>
        </w:rPr>
        <w:t xml:space="preserve">, </w:t>
      </w:r>
      <w:r w:rsidRPr="0040768D">
        <w:rPr>
          <w:rFonts w:ascii="Arial" w:hAnsi="Arial" w:cs="Arial"/>
          <w:b/>
          <w:bCs/>
          <w:kern w:val="24"/>
        </w:rPr>
        <w:t>néoplasie</w:t>
      </w:r>
      <w:r w:rsidRPr="0040768D">
        <w:rPr>
          <w:rFonts w:ascii="Arial" w:hAnsi="Arial" w:cs="Arial"/>
          <w:kern w:val="24"/>
        </w:rPr>
        <w:t xml:space="preserve">, </w:t>
      </w:r>
      <w:r w:rsidRPr="0040768D">
        <w:rPr>
          <w:rFonts w:ascii="Arial" w:hAnsi="Arial" w:cs="Arial"/>
          <w:b/>
          <w:bCs/>
          <w:kern w:val="24"/>
        </w:rPr>
        <w:t>intoxication alcoolique chronique, carence en folates ou en vitamine B12, etc</w:t>
      </w:r>
      <w:r w:rsidRPr="0040768D">
        <w:rPr>
          <w:rFonts w:ascii="Arial" w:hAnsi="Arial" w:cs="Arial"/>
          <w:kern w:val="24"/>
        </w:rPr>
        <w:t xml:space="preserve">.). </w:t>
      </w:r>
    </w:p>
    <w:p w:rsidR="003A365F" w:rsidRDefault="003A365F" w:rsidP="003A365F">
      <w:pPr>
        <w:pStyle w:val="Titre2"/>
      </w:pPr>
    </w:p>
    <w:p w:rsidR="0040768D" w:rsidRPr="0040768D" w:rsidRDefault="0040768D" w:rsidP="003A365F">
      <w:pPr>
        <w:pStyle w:val="Titre2"/>
      </w:pPr>
      <w:r w:rsidRPr="0040768D">
        <w:t>Toxicité hématologique</w:t>
      </w:r>
    </w:p>
    <w:p w:rsidR="0040768D" w:rsidRPr="0040768D" w:rsidRDefault="0040768D" w:rsidP="0040768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 xml:space="preserve">Le retentissement le plus précoce de l’altération de la méthylation de l’ADN soumis à une exposition de protoxyde d’azote a lieu au niveau de cellules à renouvellement rapide : les cellules hématopoïétiques sous la forme d’une </w:t>
      </w:r>
      <w:r w:rsidRPr="0040768D">
        <w:rPr>
          <w:rFonts w:ascii="Arial" w:hAnsi="Arial" w:cs="Arial"/>
          <w:b/>
          <w:bCs/>
          <w:kern w:val="24"/>
        </w:rPr>
        <w:t>anémie mégaloblastique</w:t>
      </w:r>
      <w:r w:rsidRPr="0040768D">
        <w:rPr>
          <w:rFonts w:ascii="Arial" w:hAnsi="Arial" w:cs="Arial"/>
          <w:kern w:val="24"/>
        </w:rPr>
        <w:t xml:space="preserve"> identique aux déficits chroniques en vitamine B12 (après 12 heures d’anesthésie).</w:t>
      </w:r>
    </w:p>
    <w:p w:rsidR="0040768D" w:rsidRPr="0040768D" w:rsidRDefault="0040768D" w:rsidP="0040768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8" w:hanging="288"/>
        <w:rPr>
          <w:rFonts w:ascii="Arial" w:hAnsi="Arial" w:cs="Arial"/>
          <w:b/>
          <w:bCs/>
          <w:kern w:val="24"/>
        </w:rPr>
      </w:pPr>
      <w:r w:rsidRPr="0040768D">
        <w:rPr>
          <w:rFonts w:ascii="Arial" w:hAnsi="Arial" w:cs="Arial"/>
          <w:kern w:val="24"/>
        </w:rPr>
        <w:t>Éviter l’administration répéter de protoxyde d’azote à intervalles rapprochés (intervalle inférieur à 1 semaine) qui ne permettraient pas à la moelle de se régénérer.</w:t>
      </w:r>
    </w:p>
    <w:p w:rsidR="003A365F" w:rsidRDefault="003A365F" w:rsidP="003A365F">
      <w:pPr>
        <w:pStyle w:val="Titre2"/>
      </w:pPr>
    </w:p>
    <w:p w:rsidR="0040768D" w:rsidRPr="0040768D" w:rsidRDefault="0040768D" w:rsidP="003A365F">
      <w:pPr>
        <w:pStyle w:val="Titre2"/>
      </w:pPr>
      <w:r w:rsidRPr="0040768D">
        <w:t>Infertilité et tératogenèse</w:t>
      </w:r>
    </w:p>
    <w:p w:rsidR="0040768D" w:rsidRPr="0040768D" w:rsidRDefault="0040768D" w:rsidP="0040768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 xml:space="preserve">les effets </w:t>
      </w:r>
      <w:proofErr w:type="spellStart"/>
      <w:r w:rsidRPr="0040768D">
        <w:rPr>
          <w:rFonts w:ascii="Arial" w:hAnsi="Arial" w:cs="Arial"/>
          <w:kern w:val="24"/>
        </w:rPr>
        <w:t>foetotoxiques</w:t>
      </w:r>
      <w:proofErr w:type="spellEnd"/>
      <w:r w:rsidRPr="0040768D">
        <w:rPr>
          <w:rFonts w:ascii="Arial" w:hAnsi="Arial" w:cs="Arial"/>
          <w:kern w:val="24"/>
        </w:rPr>
        <w:t xml:space="preserve"> du N2O restent plutôt théoriques et nécessitent des investigations complémentaires difficiles à réaliser en l’absence de groupe contrôle aisé à constituer.</w:t>
      </w:r>
    </w:p>
    <w:p w:rsidR="0040768D" w:rsidRPr="0040768D" w:rsidRDefault="0040768D" w:rsidP="0040768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8" w:hanging="288"/>
        <w:rPr>
          <w:rFonts w:ascii="Arial" w:hAnsi="Arial" w:cs="Arial"/>
          <w:b/>
          <w:bCs/>
          <w:kern w:val="24"/>
        </w:rPr>
      </w:pPr>
      <w:r w:rsidRPr="0040768D">
        <w:rPr>
          <w:rFonts w:ascii="Arial" w:hAnsi="Arial" w:cs="Arial"/>
          <w:kern w:val="24"/>
        </w:rPr>
        <w:t>Les seuls effets décrits dans une étude analysant des grossesses depuis leur deuxième trimestre sont une association significative de l’usage du N2O à des naissances plus précoces et une tendance à de plus petits poids de naissance.</w:t>
      </w:r>
    </w:p>
    <w:p w:rsidR="0040768D" w:rsidRPr="003A365F" w:rsidRDefault="0040768D" w:rsidP="003A365F">
      <w:pPr>
        <w:pStyle w:val="Titre1"/>
      </w:pPr>
      <w:r w:rsidRPr="0040768D">
        <w:t>Contre-indications</w:t>
      </w:r>
    </w:p>
    <w:p w:rsidR="0040768D" w:rsidRPr="0040768D" w:rsidRDefault="0040768D" w:rsidP="0040768D">
      <w:pPr>
        <w:autoSpaceDE w:val="0"/>
        <w:autoSpaceDN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</w:rPr>
      </w:pPr>
    </w:p>
    <w:p w:rsidR="0040768D" w:rsidRPr="0040768D" w:rsidRDefault="0040768D" w:rsidP="0040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 xml:space="preserve">Le N2O </w:t>
      </w:r>
      <w:r w:rsidRPr="003A365F">
        <w:rPr>
          <w:rFonts w:ascii="Arial" w:hAnsi="Arial" w:cs="Arial"/>
          <w:b/>
          <w:kern w:val="24"/>
        </w:rPr>
        <w:t>est contre-indiqué</w:t>
      </w:r>
      <w:r w:rsidRPr="0040768D">
        <w:rPr>
          <w:rFonts w:ascii="Arial" w:hAnsi="Arial" w:cs="Arial"/>
          <w:kern w:val="24"/>
        </w:rPr>
        <w:t xml:space="preserve"> pour les interventions suivantes </w:t>
      </w:r>
    </w:p>
    <w:p w:rsidR="0040768D" w:rsidRPr="0040768D" w:rsidRDefault="0040768D" w:rsidP="003A365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 xml:space="preserve">chirurgie des voies aériennes au laser ou au bistouri électrique (le N2O est un comburant) ; </w:t>
      </w:r>
    </w:p>
    <w:p w:rsidR="0040768D" w:rsidRPr="0040768D" w:rsidRDefault="0040768D" w:rsidP="003A365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 xml:space="preserve">neurochirurgie en position assise (emboles gazeux) ; </w:t>
      </w:r>
    </w:p>
    <w:p w:rsidR="0040768D" w:rsidRPr="0040768D" w:rsidRDefault="0040768D" w:rsidP="003A365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 xml:space="preserve">chirurgie de l'oreille </w:t>
      </w:r>
      <w:r w:rsidR="003A365F" w:rsidRPr="0040768D">
        <w:rPr>
          <w:rFonts w:ascii="Arial" w:hAnsi="Arial" w:cs="Arial"/>
          <w:kern w:val="24"/>
        </w:rPr>
        <w:t>moyenne ;</w:t>
      </w:r>
      <w:r w:rsidRPr="0040768D">
        <w:rPr>
          <w:rFonts w:ascii="Arial" w:hAnsi="Arial" w:cs="Arial"/>
          <w:kern w:val="24"/>
        </w:rPr>
        <w:t xml:space="preserve"> </w:t>
      </w:r>
    </w:p>
    <w:p w:rsidR="0040768D" w:rsidRPr="0040768D" w:rsidRDefault="0040768D" w:rsidP="003A365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 xml:space="preserve">transplantation hépatique et chirurgie cardiaque avec CEC du fait des emboles </w:t>
      </w:r>
      <w:r w:rsidR="003A365F" w:rsidRPr="0040768D">
        <w:rPr>
          <w:rFonts w:ascii="Arial" w:hAnsi="Arial" w:cs="Arial"/>
          <w:kern w:val="24"/>
        </w:rPr>
        <w:t>gazeux ;</w:t>
      </w:r>
      <w:r w:rsidRPr="0040768D">
        <w:rPr>
          <w:rFonts w:ascii="Arial" w:hAnsi="Arial" w:cs="Arial"/>
          <w:kern w:val="24"/>
        </w:rPr>
        <w:t xml:space="preserve"> </w:t>
      </w:r>
    </w:p>
    <w:p w:rsidR="0040768D" w:rsidRPr="0040768D" w:rsidRDefault="0040768D" w:rsidP="003A365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 xml:space="preserve">interventions avec administration de </w:t>
      </w:r>
      <w:proofErr w:type="spellStart"/>
      <w:r w:rsidRPr="0040768D">
        <w:rPr>
          <w:rFonts w:ascii="Arial" w:hAnsi="Arial" w:cs="Arial"/>
          <w:kern w:val="24"/>
        </w:rPr>
        <w:t>nitroprussiate</w:t>
      </w:r>
      <w:proofErr w:type="spellEnd"/>
      <w:r w:rsidRPr="0040768D">
        <w:rPr>
          <w:rFonts w:ascii="Arial" w:hAnsi="Arial" w:cs="Arial"/>
          <w:kern w:val="24"/>
        </w:rPr>
        <w:t xml:space="preserve"> de soude (la cobalamine inactive l'ion cyanure) ; </w:t>
      </w:r>
    </w:p>
    <w:p w:rsidR="0040768D" w:rsidRPr="0040768D" w:rsidRDefault="0040768D" w:rsidP="003A365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 xml:space="preserve">interventions dépassant 24 </w:t>
      </w:r>
      <w:r w:rsidR="003A365F" w:rsidRPr="0040768D">
        <w:rPr>
          <w:rFonts w:ascii="Arial" w:hAnsi="Arial" w:cs="Arial"/>
          <w:kern w:val="24"/>
        </w:rPr>
        <w:t>heures ;</w:t>
      </w:r>
      <w:r w:rsidRPr="0040768D">
        <w:rPr>
          <w:rFonts w:ascii="Arial" w:hAnsi="Arial" w:cs="Arial"/>
          <w:kern w:val="24"/>
        </w:rPr>
        <w:t xml:space="preserve"> </w:t>
      </w:r>
    </w:p>
    <w:p w:rsidR="0040768D" w:rsidRPr="003A365F" w:rsidRDefault="0040768D" w:rsidP="003A365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4"/>
        </w:rPr>
      </w:pPr>
      <w:r w:rsidRPr="003A365F">
        <w:rPr>
          <w:rFonts w:ascii="Arial" w:hAnsi="Arial" w:cs="Arial"/>
          <w:kern w:val="24"/>
        </w:rPr>
        <w:t>interventions itératives, répétées à des intervalles inférieurs à une semaine.</w:t>
      </w:r>
    </w:p>
    <w:p w:rsidR="0040768D" w:rsidRPr="0040768D" w:rsidRDefault="0040768D" w:rsidP="0040768D">
      <w:pPr>
        <w:autoSpaceDE w:val="0"/>
        <w:autoSpaceDN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</w:rPr>
      </w:pPr>
    </w:p>
    <w:p w:rsidR="0040768D" w:rsidRPr="0040768D" w:rsidRDefault="003A365F" w:rsidP="0040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 xml:space="preserve">L'usage du N2O </w:t>
      </w:r>
      <w:r w:rsidR="0040768D" w:rsidRPr="003A365F">
        <w:rPr>
          <w:rFonts w:ascii="Arial" w:hAnsi="Arial" w:cs="Arial"/>
          <w:b/>
          <w:kern w:val="24"/>
        </w:rPr>
        <w:t>n'est pas recommandé</w:t>
      </w:r>
      <w:r w:rsidR="0040768D" w:rsidRPr="0040768D">
        <w:rPr>
          <w:rFonts w:ascii="Arial" w:hAnsi="Arial" w:cs="Arial"/>
          <w:kern w:val="24"/>
        </w:rPr>
        <w:t xml:space="preserve"> chez les patients suivants :</w:t>
      </w:r>
    </w:p>
    <w:p w:rsidR="0040768D" w:rsidRPr="0040768D" w:rsidRDefault="0040768D" w:rsidP="003A365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 xml:space="preserve">patients avec compliance intracrânienne </w:t>
      </w:r>
      <w:r w:rsidR="003A365F" w:rsidRPr="0040768D">
        <w:rPr>
          <w:rFonts w:ascii="Arial" w:hAnsi="Arial" w:cs="Arial"/>
          <w:kern w:val="24"/>
        </w:rPr>
        <w:t>diminuée ;</w:t>
      </w:r>
    </w:p>
    <w:p w:rsidR="0040768D" w:rsidRPr="0040768D" w:rsidRDefault="0040768D" w:rsidP="003A365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>patients admis pour traumatisme du thorax et à risque de pneumothorax ;</w:t>
      </w:r>
    </w:p>
    <w:p w:rsidR="0040768D" w:rsidRPr="0040768D" w:rsidRDefault="0040768D" w:rsidP="003A365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>patients avec une insuffisance ventriculaire gauche, par contre, une insuffisance coronarienne n'est pas une contre-</w:t>
      </w:r>
      <w:r w:rsidR="003A365F" w:rsidRPr="0040768D">
        <w:rPr>
          <w:rFonts w:ascii="Arial" w:hAnsi="Arial" w:cs="Arial"/>
          <w:kern w:val="24"/>
        </w:rPr>
        <w:t>indication ;</w:t>
      </w:r>
    </w:p>
    <w:p w:rsidR="0040768D" w:rsidRPr="0040768D" w:rsidRDefault="0040768D" w:rsidP="003A365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>patients avec des antécédents de maladie de l'oreille moyenne (perforation du tympan), ou dont un sinus ne communique plus avec les voies aériennes ;</w:t>
      </w:r>
    </w:p>
    <w:p w:rsidR="0040768D" w:rsidRPr="0040768D" w:rsidRDefault="0040768D" w:rsidP="003A365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 xml:space="preserve">patients avec des antécédents de nausées et vomissements postopératoires </w:t>
      </w:r>
      <w:r w:rsidR="003A365F" w:rsidRPr="0040768D">
        <w:rPr>
          <w:rFonts w:ascii="Arial" w:hAnsi="Arial" w:cs="Arial"/>
          <w:kern w:val="24"/>
        </w:rPr>
        <w:t>sévères ;</w:t>
      </w:r>
    </w:p>
    <w:p w:rsidR="0040768D" w:rsidRPr="0040768D" w:rsidRDefault="0040768D" w:rsidP="003A365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 xml:space="preserve">patients âgés, avec un abdomen distendu et une occlusion devant subir une intervention </w:t>
      </w:r>
      <w:r w:rsidR="003A365F" w:rsidRPr="0040768D">
        <w:rPr>
          <w:rFonts w:ascii="Arial" w:hAnsi="Arial" w:cs="Arial"/>
          <w:kern w:val="24"/>
        </w:rPr>
        <w:t>prolongée ;</w:t>
      </w:r>
    </w:p>
    <w:p w:rsidR="0040768D" w:rsidRPr="0040768D" w:rsidRDefault="0040768D" w:rsidP="003A365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</w:rPr>
      </w:pPr>
      <w:r w:rsidRPr="0040768D">
        <w:rPr>
          <w:rFonts w:ascii="Arial" w:hAnsi="Arial" w:cs="Arial"/>
          <w:kern w:val="24"/>
        </w:rPr>
        <w:t xml:space="preserve">patients déficitaires en vitamine B12 ou avec un syndrome neuro-anémique lié à ce </w:t>
      </w:r>
      <w:r w:rsidR="003A365F" w:rsidRPr="0040768D">
        <w:rPr>
          <w:rFonts w:ascii="Arial" w:hAnsi="Arial" w:cs="Arial"/>
          <w:kern w:val="24"/>
        </w:rPr>
        <w:t>déficit ;</w:t>
      </w:r>
    </w:p>
    <w:p w:rsidR="0040768D" w:rsidRPr="003A365F" w:rsidRDefault="0040768D" w:rsidP="003A365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4"/>
        </w:rPr>
      </w:pPr>
      <w:r w:rsidRPr="003A365F">
        <w:rPr>
          <w:rFonts w:ascii="Arial" w:hAnsi="Arial" w:cs="Arial"/>
          <w:kern w:val="24"/>
        </w:rPr>
        <w:t xml:space="preserve">patients en état de défaillance </w:t>
      </w:r>
      <w:proofErr w:type="spellStart"/>
      <w:r w:rsidRPr="003A365F">
        <w:rPr>
          <w:rFonts w:ascii="Arial" w:hAnsi="Arial" w:cs="Arial"/>
          <w:kern w:val="24"/>
        </w:rPr>
        <w:t>multiviscérale</w:t>
      </w:r>
      <w:proofErr w:type="spellEnd"/>
      <w:r w:rsidRPr="003A365F">
        <w:rPr>
          <w:rFonts w:ascii="Arial" w:hAnsi="Arial" w:cs="Arial"/>
          <w:kern w:val="24"/>
        </w:rPr>
        <w:t>, avec une infection sévère, devant subir une reprise chirurgicale pour déhiscence de suture</w:t>
      </w:r>
    </w:p>
    <w:p w:rsidR="0040768D" w:rsidRPr="0040768D" w:rsidRDefault="0040768D" w:rsidP="0040768D">
      <w:pPr>
        <w:autoSpaceDE w:val="0"/>
        <w:autoSpaceDN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</w:rPr>
      </w:pPr>
    </w:p>
    <w:p w:rsidR="008B3D6F" w:rsidRPr="0040768D" w:rsidRDefault="007228E9">
      <w:bookmarkStart w:id="0" w:name="_GoBack"/>
      <w:bookmarkEnd w:id="0"/>
    </w:p>
    <w:sectPr w:rsidR="008B3D6F" w:rsidRPr="0040768D" w:rsidSect="00EA4105">
      <w:headerReference w:type="default" r:id="rId9"/>
      <w:footerReference w:type="default" r:id="rId10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8E9" w:rsidRDefault="007228E9" w:rsidP="0040768D">
      <w:pPr>
        <w:spacing w:after="0" w:line="240" w:lineRule="auto"/>
      </w:pPr>
      <w:r>
        <w:separator/>
      </w:r>
    </w:p>
  </w:endnote>
  <w:endnote w:type="continuationSeparator" w:id="0">
    <w:p w:rsidR="007228E9" w:rsidRDefault="007228E9" w:rsidP="00407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536246"/>
      <w:docPartObj>
        <w:docPartGallery w:val="Page Numbers (Bottom of Page)"/>
        <w:docPartUnique/>
      </w:docPartObj>
    </w:sdtPr>
    <w:sdtContent>
      <w:p w:rsidR="00893002" w:rsidRDefault="0089300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ED2">
          <w:rPr>
            <w:noProof/>
          </w:rPr>
          <w:t>4</w:t>
        </w:r>
        <w:r>
          <w:fldChar w:fldCharType="end"/>
        </w:r>
      </w:p>
    </w:sdtContent>
  </w:sdt>
  <w:p w:rsidR="004E2ED2" w:rsidRDefault="004E2ED2">
    <w:pPr>
      <w:pStyle w:val="Pieddepage"/>
    </w:pPr>
    <w:r>
      <w:t>INFSPM de CONSTANTINE</w:t>
    </w:r>
  </w:p>
  <w:p w:rsidR="004E2ED2" w:rsidRDefault="004E2ED2">
    <w:pPr>
      <w:pStyle w:val="Pieddepage"/>
    </w:pPr>
    <w:r>
      <w:t>BMS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8E9" w:rsidRDefault="007228E9" w:rsidP="0040768D">
      <w:pPr>
        <w:spacing w:after="0" w:line="240" w:lineRule="auto"/>
      </w:pPr>
      <w:r>
        <w:separator/>
      </w:r>
    </w:p>
  </w:footnote>
  <w:footnote w:type="continuationSeparator" w:id="0">
    <w:p w:rsidR="007228E9" w:rsidRDefault="007228E9" w:rsidP="00407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68D" w:rsidRPr="0040768D" w:rsidRDefault="0040768D" w:rsidP="0040768D">
    <w:pPr>
      <w:autoSpaceDE w:val="0"/>
      <w:autoSpaceDN w:val="0"/>
      <w:adjustRightInd w:val="0"/>
      <w:spacing w:after="0" w:line="240" w:lineRule="auto"/>
      <w:rPr>
        <w:rFonts w:ascii="Arial" w:hAnsi="Arial" w:cs="Arial"/>
        <w:kern w:val="24"/>
        <w:sz w:val="16"/>
        <w:szCs w:val="16"/>
      </w:rPr>
    </w:pPr>
    <w:r w:rsidRPr="0040768D">
      <w:rPr>
        <w:rFonts w:ascii="Arial" w:hAnsi="Arial" w:cs="Arial"/>
        <w:b/>
        <w:bCs/>
        <w:kern w:val="24"/>
        <w:sz w:val="16"/>
        <w:szCs w:val="16"/>
      </w:rPr>
      <w:t>Protoxyde d’azote</w:t>
    </w:r>
  </w:p>
  <w:p w:rsidR="0040768D" w:rsidRPr="0040768D" w:rsidRDefault="0040768D" w:rsidP="0040768D">
    <w:pPr>
      <w:autoSpaceDE w:val="0"/>
      <w:autoSpaceDN w:val="0"/>
      <w:adjustRightInd w:val="0"/>
      <w:spacing w:after="0" w:line="240" w:lineRule="auto"/>
      <w:rPr>
        <w:rFonts w:ascii="Arial" w:hAnsi="Arial" w:cs="Arial"/>
        <w:kern w:val="24"/>
        <w:sz w:val="16"/>
        <w:szCs w:val="16"/>
        <w:lang w:val="it-IT"/>
      </w:rPr>
    </w:pPr>
    <w:r w:rsidRPr="0040768D">
      <w:rPr>
        <w:rFonts w:ascii="Arial" w:hAnsi="Arial" w:cs="Arial"/>
        <w:kern w:val="24"/>
        <w:sz w:val="16"/>
        <w:szCs w:val="16"/>
        <w:lang w:val="it-IT"/>
      </w:rPr>
      <w:t>M. Le Guen, T. Baugnon. EMC</w:t>
    </w:r>
  </w:p>
  <w:p w:rsidR="0040768D" w:rsidRPr="0040768D" w:rsidRDefault="0040768D" w:rsidP="0040768D">
    <w:pPr>
      <w:autoSpaceDE w:val="0"/>
      <w:autoSpaceDN w:val="0"/>
      <w:adjustRightInd w:val="0"/>
      <w:spacing w:after="0" w:line="240" w:lineRule="auto"/>
      <w:rPr>
        <w:rFonts w:ascii="Arial" w:hAnsi="Arial" w:cs="Arial"/>
        <w:kern w:val="24"/>
        <w:sz w:val="16"/>
        <w:szCs w:val="16"/>
      </w:rPr>
    </w:pPr>
    <w:r w:rsidRPr="0040768D">
      <w:rPr>
        <w:rFonts w:ascii="Arial" w:hAnsi="Arial" w:cs="Arial"/>
        <w:kern w:val="24"/>
        <w:sz w:val="16"/>
        <w:szCs w:val="16"/>
      </w:rPr>
      <w:t xml:space="preserve">Conférences d'actualisation de la SFAR 1997 </w:t>
    </w:r>
    <w:r>
      <w:rPr>
        <w:rFonts w:ascii="Arial" w:hAnsi="Arial" w:cs="Arial"/>
        <w:kern w:val="24"/>
        <w:sz w:val="16"/>
        <w:szCs w:val="16"/>
      </w:rPr>
      <w:t xml:space="preserve">JC </w:t>
    </w:r>
    <w:proofErr w:type="spellStart"/>
    <w:r>
      <w:rPr>
        <w:rFonts w:ascii="Arial" w:hAnsi="Arial" w:cs="Arial"/>
        <w:kern w:val="24"/>
        <w:sz w:val="16"/>
        <w:szCs w:val="16"/>
      </w:rPr>
      <w:t>Otteni</w:t>
    </w:r>
    <w:proofErr w:type="spellEnd"/>
    <w:r>
      <w:rPr>
        <w:rFonts w:ascii="Arial" w:hAnsi="Arial" w:cs="Arial"/>
        <w:kern w:val="24"/>
        <w:sz w:val="16"/>
        <w:szCs w:val="16"/>
      </w:rPr>
      <w:t xml:space="preserve">, F </w:t>
    </w:r>
    <w:proofErr w:type="spellStart"/>
    <w:r>
      <w:rPr>
        <w:rFonts w:ascii="Arial" w:hAnsi="Arial" w:cs="Arial"/>
        <w:kern w:val="24"/>
        <w:sz w:val="16"/>
        <w:szCs w:val="16"/>
      </w:rPr>
      <w:t>Collin</w:t>
    </w:r>
    <w:proofErr w:type="spellEnd"/>
    <w:r>
      <w:rPr>
        <w:rFonts w:ascii="Arial" w:hAnsi="Arial" w:cs="Arial"/>
        <w:kern w:val="24"/>
        <w:sz w:val="16"/>
        <w:szCs w:val="16"/>
      </w:rPr>
      <w:t>, S Fournier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0AE384"/>
    <w:lvl w:ilvl="0">
      <w:numFmt w:val="bullet"/>
      <w:lvlText w:val="*"/>
      <w:lvlJc w:val="left"/>
    </w:lvl>
  </w:abstractNum>
  <w:abstractNum w:abstractNumId="1" w15:restartNumberingAfterBreak="0">
    <w:nsid w:val="35FA69E3"/>
    <w:multiLevelType w:val="hybridMultilevel"/>
    <w:tmpl w:val="CEA064C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315E07"/>
    <w:multiLevelType w:val="hybridMultilevel"/>
    <w:tmpl w:val="1C7C28A8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4561FE"/>
    <w:multiLevelType w:val="hybridMultilevel"/>
    <w:tmpl w:val="562E800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AB520C"/>
    <w:multiLevelType w:val="hybridMultilevel"/>
    <w:tmpl w:val="C78CED1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E84AEF"/>
    <w:multiLevelType w:val="hybridMultilevel"/>
    <w:tmpl w:val="D0B2D8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9C79C3"/>
    <w:multiLevelType w:val="hybridMultilevel"/>
    <w:tmpl w:val="0B201BB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4"/>
        </w:rPr>
      </w:lvl>
    </w:lvlOverride>
  </w:num>
  <w:num w:numId="2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1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1"/>
        </w:rPr>
      </w:lvl>
    </w:lvlOverride>
  </w:num>
  <w:num w:numId="4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7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4"/>
        </w:rPr>
      </w:lvl>
    </w:lvlOverride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8D"/>
    <w:rsid w:val="00343757"/>
    <w:rsid w:val="003A365F"/>
    <w:rsid w:val="0040768D"/>
    <w:rsid w:val="004E2ED2"/>
    <w:rsid w:val="00514183"/>
    <w:rsid w:val="007228E9"/>
    <w:rsid w:val="00893002"/>
    <w:rsid w:val="00D444E2"/>
    <w:rsid w:val="00F9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1A69E2-39DF-482D-A344-208CD8D8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076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076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444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7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768D"/>
  </w:style>
  <w:style w:type="paragraph" w:styleId="Pieddepage">
    <w:name w:val="footer"/>
    <w:basedOn w:val="Normal"/>
    <w:link w:val="PieddepageCar"/>
    <w:uiPriority w:val="99"/>
    <w:unhideWhenUsed/>
    <w:rsid w:val="00407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768D"/>
  </w:style>
  <w:style w:type="character" w:customStyle="1" w:styleId="Titre1Car">
    <w:name w:val="Titre 1 Car"/>
    <w:basedOn w:val="Policepardfaut"/>
    <w:link w:val="Titre1"/>
    <w:uiPriority w:val="9"/>
    <w:rsid w:val="004076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076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444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1360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BENELMIR Med Salah</dc:creator>
  <cp:keywords/>
  <dc:description/>
  <cp:lastModifiedBy>BENELMIR Med Salah</cp:lastModifiedBy>
  <cp:revision>4</cp:revision>
  <dcterms:created xsi:type="dcterms:W3CDTF">2017-12-08T12:31:00Z</dcterms:created>
  <dcterms:modified xsi:type="dcterms:W3CDTF">2017-12-08T17:10:00Z</dcterms:modified>
</cp:coreProperties>
</file>