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FF" w:rsidRPr="00B15CFF" w:rsidRDefault="00B15CFF" w:rsidP="00B15CFF">
      <w:pPr>
        <w:pStyle w:val="Titre1"/>
      </w:pPr>
      <w:r w:rsidRPr="00B15CFF">
        <w:t>PRÉSENTATION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est présentée en ampoules de 5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mL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dosées à 50 mg (solution à 1 %, soit 10 mg/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mL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) et en ampoules de 5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mL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dosées à 250 mg (solution à 5 %, soit 50 mg/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mL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). </w:t>
      </w:r>
    </w:p>
    <w:p w:rsid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a des propriétés analgésiques centrales (récepteurs morphiniques et récepteurs NMDA).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l’agent anesthésique de référence dans certaines circonstances cliniques, notamment les états de choc, la tamponnade, ou l’asthme aigu grave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il faut considérer, comme le soulignent des revues, qu’il existe deux indications de la kétamine : à forte dose comme anesthésique général, et à faible dose comme antalgique </w:t>
      </w:r>
    </w:p>
    <w:p w:rsidR="00B15CFF" w:rsidRPr="00B15CFF" w:rsidRDefault="00B15CFF" w:rsidP="00B15CFF">
      <w:pPr>
        <w:pStyle w:val="Titre1"/>
      </w:pPr>
      <w:r w:rsidRPr="00B15CFF">
        <w:t>PROPRIÉTÉS PHYSICOCHIMIQUES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Le pKa de la kétamine est de 7,5.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Sa liaison protéique est faible (10 %) et elle est très liposoluble (début d’action rapide).</w:t>
      </w:r>
    </w:p>
    <w:p w:rsidR="00B15CFF" w:rsidRPr="00B15CFF" w:rsidRDefault="00B15CFF" w:rsidP="00B15CFF">
      <w:pPr>
        <w:pStyle w:val="Titre1"/>
      </w:pPr>
      <w:r w:rsidRPr="00B15CFF">
        <w:t>PHARMACOCINÉTIQUE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Pharmacocinétique ≈ du thiopental mais molécule est 5 fois plus liposoluble que le thiopental. </w:t>
      </w:r>
    </w:p>
    <w:p w:rsid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Liaison aux protéines plasmatiques ≈ 50%.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Débit sanguin cérébral élevée + liposolubilité = concentrations cérébrales élevées puis redistribution dans les tissus adipeux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t1/2 de distribution régit l’effet anesthésique, et la t1/2d’élimination les phénomènes tardifs comme les hallucinations au réveil.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kétamine s’accumule en cas d’injections répétées ou d’administration continue.</w:t>
      </w:r>
    </w:p>
    <w:p w:rsid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Sa demi-vie d’élimination est prolongée par l’halothane et le diazépam, ainsi que chez l’enfant de moins de 3 mois (métabolisme Hépatique diminué).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Elle traverse rapidement le placenta : les concentrations fœtales sont maximales en 1,5 à 2 minutes et peuvent dépasser les concentrations maternelles.</w:t>
      </w:r>
    </w:p>
    <w:tbl>
      <w:tblPr>
        <w:tblStyle w:val="Grilledutableau"/>
        <w:tblW w:w="9184" w:type="dxa"/>
        <w:tblInd w:w="450" w:type="dxa"/>
        <w:tblLook w:val="04A0" w:firstRow="1" w:lastRow="0" w:firstColumn="1" w:lastColumn="0" w:noHBand="0" w:noVBand="1"/>
      </w:tblPr>
      <w:tblGrid>
        <w:gridCol w:w="1007"/>
        <w:gridCol w:w="801"/>
        <w:gridCol w:w="1385"/>
        <w:gridCol w:w="1185"/>
        <w:gridCol w:w="2152"/>
        <w:gridCol w:w="2654"/>
      </w:tblGrid>
      <w:tr w:rsidR="00B15CFF" w:rsidRPr="00B15CFF" w:rsidTr="004B6E67">
        <w:trPr>
          <w:trHeight w:val="733"/>
        </w:trPr>
        <w:tc>
          <w:tcPr>
            <w:tcW w:w="1011" w:type="dxa"/>
            <w:vAlign w:val="center"/>
            <w:hideMark/>
          </w:tcPr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Terrain</w:t>
            </w:r>
          </w:p>
        </w:tc>
        <w:tc>
          <w:tcPr>
            <w:tcW w:w="802" w:type="dxa"/>
            <w:vAlign w:val="center"/>
            <w:hideMark/>
          </w:tcPr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proofErr w:type="spellStart"/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Vdss</w:t>
            </w:r>
            <w:proofErr w:type="spellEnd"/>
          </w:p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(L/kg)</w:t>
            </w:r>
          </w:p>
        </w:tc>
        <w:tc>
          <w:tcPr>
            <w:tcW w:w="1297" w:type="dxa"/>
            <w:vAlign w:val="center"/>
            <w:hideMark/>
          </w:tcPr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Clairance</w:t>
            </w:r>
          </w:p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(</w:t>
            </w:r>
            <w:proofErr w:type="spellStart"/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mL</w:t>
            </w:r>
            <w:proofErr w:type="spellEnd"/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/min/kg)</w:t>
            </w:r>
          </w:p>
        </w:tc>
        <w:tc>
          <w:tcPr>
            <w:tcW w:w="1199" w:type="dxa"/>
            <w:vAlign w:val="center"/>
            <w:hideMark/>
          </w:tcPr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Demi-vie</w:t>
            </w:r>
          </w:p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(h)</w:t>
            </w:r>
          </w:p>
        </w:tc>
        <w:tc>
          <w:tcPr>
            <w:tcW w:w="2182" w:type="dxa"/>
            <w:vAlign w:val="center"/>
            <w:hideMark/>
          </w:tcPr>
          <w:p w:rsidR="00B15CFF" w:rsidRPr="00B15CFF" w:rsidRDefault="00B15CFF" w:rsidP="004B6E67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Élimination</w:t>
            </w:r>
            <w:r>
              <w:rPr>
                <w:rFonts w:ascii="Corbel" w:hAnsi="Corbel" w:cs="Corbel"/>
                <w:b/>
                <w:bCs/>
                <w:kern w:val="24"/>
                <w:szCs w:val="24"/>
              </w:rPr>
              <w:t xml:space="preserve"> 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Sous forme</w:t>
            </w:r>
            <w:r>
              <w:rPr>
                <w:rFonts w:ascii="Corbel" w:hAnsi="Corbel" w:cs="Corbel"/>
                <w:b/>
                <w:bCs/>
                <w:kern w:val="24"/>
                <w:szCs w:val="24"/>
              </w:rPr>
              <w:t xml:space="preserve"> 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inchangée</w:t>
            </w:r>
            <w:r>
              <w:rPr>
                <w:rFonts w:ascii="Corbel" w:hAnsi="Corbel" w:cs="Corbel"/>
                <w:b/>
                <w:bCs/>
                <w:kern w:val="24"/>
                <w:szCs w:val="24"/>
              </w:rPr>
              <w:t xml:space="preserve"> 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(%)</w:t>
            </w:r>
          </w:p>
        </w:tc>
        <w:tc>
          <w:tcPr>
            <w:tcW w:w="2693" w:type="dxa"/>
            <w:vAlign w:val="center"/>
            <w:hideMark/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Concentration</w:t>
            </w:r>
            <w:r>
              <w:rPr>
                <w:rFonts w:ascii="Corbel" w:hAnsi="Corbel" w:cs="Corbel"/>
                <w:b/>
                <w:bCs/>
                <w:kern w:val="24"/>
                <w:szCs w:val="24"/>
              </w:rPr>
              <w:t xml:space="preserve"> 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plasmatique</w:t>
            </w:r>
          </w:p>
          <w:p w:rsidR="00B15CFF" w:rsidRPr="00B15CFF" w:rsidRDefault="00B15CFF" w:rsidP="00B15CFF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Effective</w:t>
            </w:r>
            <w:r>
              <w:rPr>
                <w:rFonts w:ascii="Corbel" w:hAnsi="Corbel" w:cs="Corbel"/>
                <w:b/>
                <w:bCs/>
                <w:kern w:val="24"/>
                <w:szCs w:val="24"/>
              </w:rPr>
              <w:t xml:space="preserve"> 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(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  <w:lang w:val="el-GR"/>
              </w:rPr>
              <w:t>μ</w:t>
            </w: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M/L)</w:t>
            </w:r>
          </w:p>
        </w:tc>
      </w:tr>
      <w:tr w:rsidR="00B15CFF" w:rsidRPr="00B15CFF" w:rsidTr="004B6E67">
        <w:trPr>
          <w:trHeight w:val="348"/>
        </w:trPr>
        <w:tc>
          <w:tcPr>
            <w:tcW w:w="1011" w:type="dxa"/>
            <w:vAlign w:val="center"/>
            <w:hideMark/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Adulte</w:t>
            </w:r>
          </w:p>
        </w:tc>
        <w:tc>
          <w:tcPr>
            <w:tcW w:w="802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3,5</w:t>
            </w:r>
          </w:p>
        </w:tc>
        <w:tc>
          <w:tcPr>
            <w:tcW w:w="1297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10</w:t>
            </w:r>
          </w:p>
        </w:tc>
        <w:tc>
          <w:tcPr>
            <w:tcW w:w="1199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2-3</w:t>
            </w:r>
          </w:p>
        </w:tc>
        <w:tc>
          <w:tcPr>
            <w:tcW w:w="2182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5 (urines)</w:t>
            </w:r>
          </w:p>
        </w:tc>
        <w:tc>
          <w:tcPr>
            <w:tcW w:w="2693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10</w:t>
            </w:r>
          </w:p>
        </w:tc>
      </w:tr>
      <w:tr w:rsidR="00B15CFF" w:rsidRPr="00B15CFF" w:rsidTr="004B6E67">
        <w:trPr>
          <w:trHeight w:val="412"/>
        </w:trPr>
        <w:tc>
          <w:tcPr>
            <w:tcW w:w="1011" w:type="dxa"/>
            <w:vAlign w:val="center"/>
            <w:hideMark/>
          </w:tcPr>
          <w:p w:rsidR="00B15CFF" w:rsidRPr="00B15CFF" w:rsidRDefault="00B15CFF" w:rsidP="00B15CFF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Enfant</w:t>
            </w:r>
          </w:p>
        </w:tc>
        <w:tc>
          <w:tcPr>
            <w:tcW w:w="802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2.5</w:t>
            </w:r>
          </w:p>
        </w:tc>
        <w:tc>
          <w:tcPr>
            <w:tcW w:w="1297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13</w:t>
            </w:r>
          </w:p>
        </w:tc>
        <w:tc>
          <w:tcPr>
            <w:tcW w:w="1199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1-2</w:t>
            </w:r>
          </w:p>
        </w:tc>
        <w:tc>
          <w:tcPr>
            <w:tcW w:w="2182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5 (urines)</w:t>
            </w:r>
          </w:p>
        </w:tc>
        <w:tc>
          <w:tcPr>
            <w:tcW w:w="2693" w:type="dxa"/>
            <w:vAlign w:val="center"/>
            <w:hideMark/>
          </w:tcPr>
          <w:p w:rsidR="00B15CFF" w:rsidRPr="00B15CFF" w:rsidRDefault="00B15CFF" w:rsidP="006C2079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Cs w:val="24"/>
              </w:rPr>
            </w:pPr>
            <w:r w:rsidRPr="00B15CFF">
              <w:rPr>
                <w:rFonts w:ascii="Corbel" w:hAnsi="Corbel" w:cs="Corbel"/>
                <w:b/>
                <w:bCs/>
                <w:kern w:val="24"/>
                <w:szCs w:val="24"/>
              </w:rPr>
              <w:t>identique</w:t>
            </w:r>
          </w:p>
        </w:tc>
      </w:tr>
    </w:tbl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</w:p>
    <w:p w:rsidR="00B15CFF" w:rsidRPr="00B15CFF" w:rsidRDefault="00B15CFF" w:rsidP="004B6E67">
      <w:pPr>
        <w:pStyle w:val="Titre1"/>
      </w:pPr>
      <w:r w:rsidRPr="00B15CFF">
        <w:t>BIOTRANSFORMATION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b/>
          <w:bCs/>
          <w:i/>
          <w:iCs/>
          <w:kern w:val="24"/>
          <w:sz w:val="24"/>
          <w:szCs w:val="24"/>
        </w:rPr>
        <w:t xml:space="preserve">Siège du métabolisme </w:t>
      </w:r>
      <w:r w:rsidRPr="00B15CFF">
        <w:rPr>
          <w:rFonts w:ascii="Corbel" w:hAnsi="Corbel" w:cs="Corbel"/>
          <w:kern w:val="24"/>
          <w:sz w:val="24"/>
          <w:szCs w:val="24"/>
        </w:rPr>
        <w:t>: fraction enzymatique microsomiale du foie (cytochrome P450).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b/>
          <w:bCs/>
          <w:i/>
          <w:iCs/>
          <w:kern w:val="24"/>
          <w:sz w:val="24"/>
          <w:szCs w:val="24"/>
        </w:rPr>
        <w:t>Étapes</w:t>
      </w:r>
      <w:r w:rsidRPr="00B15CFF">
        <w:rPr>
          <w:rFonts w:ascii="Corbel" w:hAnsi="Corbel" w:cs="Corbel"/>
          <w:i/>
          <w:iCs/>
          <w:kern w:val="24"/>
          <w:sz w:val="24"/>
          <w:szCs w:val="24"/>
        </w:rPr>
        <w:t xml:space="preserve"> 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: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déméthylation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en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norkétamine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(action 5 fois plus faible) par les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monoxygénases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dépendant du cytochrome P450, hydroxylation puis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glucuroconjugaison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>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b/>
          <w:bCs/>
          <w:i/>
          <w:iCs/>
          <w:kern w:val="24"/>
          <w:sz w:val="24"/>
          <w:szCs w:val="24"/>
        </w:rPr>
        <w:t>Élimination</w:t>
      </w:r>
      <w:r w:rsidRPr="00B15CFF">
        <w:rPr>
          <w:rFonts w:ascii="Corbel" w:hAnsi="Corbel" w:cs="Corbel"/>
          <w:i/>
          <w:iCs/>
          <w:kern w:val="24"/>
          <w:sz w:val="24"/>
          <w:szCs w:val="24"/>
        </w:rPr>
        <w:t xml:space="preserve"> : </w:t>
      </w:r>
      <w:r w:rsidRPr="00B15CFF">
        <w:rPr>
          <w:rFonts w:ascii="Corbel" w:hAnsi="Corbel" w:cs="Corbel"/>
          <w:kern w:val="24"/>
          <w:sz w:val="24"/>
          <w:szCs w:val="24"/>
        </w:rPr>
        <w:t>urinaire (90 % sous forme métabolisée, 5 % sous forme inchangée), fécale (6 %).</w:t>
      </w:r>
    </w:p>
    <w:p w:rsidR="00B15CFF" w:rsidRPr="00B15CFF" w:rsidRDefault="00B15CFF" w:rsidP="004B6E67">
      <w:pPr>
        <w:pStyle w:val="Titre1"/>
      </w:pPr>
      <w:r w:rsidRPr="00B15CFF">
        <w:lastRenderedPageBreak/>
        <w:t>PHARMACODYNAMIQUE</w:t>
      </w:r>
    </w:p>
    <w:p w:rsidR="00B15CFF" w:rsidRPr="00B15CFF" w:rsidRDefault="00B15CFF" w:rsidP="004B6E67">
      <w:pPr>
        <w:pStyle w:val="Titre2"/>
      </w:pPr>
      <w:r w:rsidRPr="00B15CFF">
        <w:t xml:space="preserve"> Mode d’action</w:t>
      </w:r>
    </w:p>
    <w:p w:rsidR="00B15CFF" w:rsidRPr="00B15CFF" w:rsidRDefault="00B15CFF" w:rsidP="004B6E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induit une anesthésie dissociative dose-dépendante due à une dissociation fonctionnelle et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électrophysiologique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entre le thalamus et le système limbique ; </w:t>
      </w:r>
    </w:p>
    <w:p w:rsidR="004B6E67" w:rsidRDefault="00B15CFF" w:rsidP="004B6E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déprime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 la conduction axonale et l’excitabilité cellulaire, et 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 xml:space="preserve">réduit l’activité excitatrice 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des récepteurs (site de reconnaissance de la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phencyclidine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>) du N-méthyl-D-aspartate (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effet hypnotique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) ; </w:t>
      </w:r>
    </w:p>
    <w:p w:rsidR="00B15CFF" w:rsidRPr="004B6E67" w:rsidRDefault="00B15CFF" w:rsidP="004B6E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4B6E67">
        <w:rPr>
          <w:rFonts w:ascii="Corbel" w:hAnsi="Corbel" w:cs="Corbel"/>
          <w:b/>
          <w:bCs/>
          <w:kern w:val="24"/>
          <w:sz w:val="24"/>
          <w:szCs w:val="24"/>
        </w:rPr>
        <w:t>l’inhibition</w:t>
      </w:r>
      <w:r w:rsidRPr="004B6E67">
        <w:rPr>
          <w:rFonts w:ascii="Corbel" w:hAnsi="Corbel" w:cs="Corbel"/>
          <w:kern w:val="24"/>
          <w:sz w:val="24"/>
          <w:szCs w:val="24"/>
        </w:rPr>
        <w:t xml:space="preserve"> de l’action du glutamate (acide aminé neuro-excitateur le plus répandu dans le cerveau) expliquerait ses </w:t>
      </w:r>
      <w:r w:rsidRPr="004B6E67">
        <w:rPr>
          <w:rFonts w:ascii="Corbel" w:hAnsi="Corbel" w:cs="Corbel"/>
          <w:b/>
          <w:bCs/>
          <w:kern w:val="24"/>
          <w:sz w:val="24"/>
          <w:szCs w:val="24"/>
        </w:rPr>
        <w:t>effets protecteurs sur l’ischémie cérébrale</w:t>
      </w:r>
      <w:r w:rsidRPr="004B6E67">
        <w:rPr>
          <w:rFonts w:ascii="Corbel" w:hAnsi="Corbel" w:cs="Corbel"/>
          <w:kern w:val="24"/>
          <w:sz w:val="24"/>
          <w:szCs w:val="24"/>
        </w:rPr>
        <w:t xml:space="preserve">. </w:t>
      </w:r>
    </w:p>
    <w:p w:rsidR="00B15CFF" w:rsidRPr="00B15CFF" w:rsidRDefault="00B15CFF" w:rsidP="004B6E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stimule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 certains récepteurs morphiniques (μ et σ) (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effet analgésique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), </w:t>
      </w:r>
    </w:p>
    <w:p w:rsidR="00B15CFF" w:rsidRPr="004B6E67" w:rsidRDefault="00B15CFF" w:rsidP="004B6E6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Interagit avec les récepteurs sérotoninergiques et cholinergiques du système nerveux central et 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inhibe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 le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recaptage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de la noradrénaline au niveau synaptique (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effet inotrope positif</w:t>
      </w:r>
      <w:r w:rsidRPr="00B15CFF">
        <w:rPr>
          <w:rFonts w:ascii="Corbel" w:hAnsi="Corbel" w:cs="Corbel"/>
          <w:kern w:val="24"/>
          <w:sz w:val="24"/>
          <w:szCs w:val="24"/>
        </w:rPr>
        <w:t>).</w:t>
      </w:r>
    </w:p>
    <w:p w:rsidR="004B6E67" w:rsidRDefault="004B6E67" w:rsidP="004B6E67">
      <w:pPr>
        <w:pStyle w:val="Titre2"/>
      </w:pPr>
    </w:p>
    <w:p w:rsidR="00B15CFF" w:rsidRPr="00B15CFF" w:rsidRDefault="00B15CFF" w:rsidP="004B6E67">
      <w:pPr>
        <w:pStyle w:val="Titre2"/>
      </w:pPr>
      <w:r w:rsidRPr="00B15CFF">
        <w:t>Système nerveux central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induit une </w:t>
      </w:r>
      <w:r w:rsidRPr="00B15CFF">
        <w:rPr>
          <w:rFonts w:ascii="Corbel" w:hAnsi="Corbel" w:cs="Corbel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anesthésie dissociative 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qui se traduit par un état cataleptique associant une analgésie de surface et un sommeil superficiel ; les yeux restent ouverts, les pupilles dilatées, avec parfois un nystagmus horizontal et vertical (induction et réveil).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induit une </w:t>
      </w:r>
      <w:r w:rsidRPr="00B15CFF">
        <w:rPr>
          <w:rFonts w:ascii="Corbel" w:hAnsi="Corbel" w:cs="Corbel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amnésie postopératoire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Le </w:t>
      </w:r>
      <w:r w:rsidRPr="00B15CFF">
        <w:rPr>
          <w:rFonts w:ascii="Corbel" w:hAnsi="Corbel" w:cs="Corbel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tonus musculaire est conservé </w:t>
      </w:r>
      <w:r w:rsidRPr="00B15CFF">
        <w:rPr>
          <w:rFonts w:ascii="Corbel" w:hAnsi="Corbel" w:cs="Corbel"/>
          <w:kern w:val="24"/>
          <w:sz w:val="24"/>
          <w:szCs w:val="24"/>
        </w:rPr>
        <w:t>et les mouvements restent possibles.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Les </w:t>
      </w:r>
      <w:r w:rsidRPr="00B15CFF">
        <w:rPr>
          <w:rFonts w:ascii="Corbel" w:hAnsi="Corbel" w:cs="Corbel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réflexes laryngés, pharyngés et de déglutition sont conservés </w:t>
      </w:r>
      <w:r w:rsidRPr="00B15CFF">
        <w:rPr>
          <w:rFonts w:ascii="Corbel" w:hAnsi="Corbel" w:cs="Corbel"/>
          <w:kern w:val="24"/>
          <w:sz w:val="24"/>
          <w:szCs w:val="24"/>
        </w:rPr>
        <w:t>mais ne mettent pas complètement à l’abri d’une inhalation (intubation trachéale et manœuvre de Sellick restent nécessaires).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</w:t>
      </w:r>
      <w:r w:rsidRPr="00B15CFF">
        <w:rPr>
          <w:rFonts w:ascii="Corbel" w:hAnsi="Corbel" w:cs="Corbel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augmente la pression intracrânienne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, le débit sanguin cérébral et la consommation cérébrale d’oxygène.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Au réveil, l’apparition de rêves, d’hallucinations voire d’expériences extracorporelles est dose-dépendante.</w:t>
      </w:r>
    </w:p>
    <w:p w:rsidR="004B6E67" w:rsidRDefault="004B6E67" w:rsidP="004B6E67">
      <w:pPr>
        <w:pStyle w:val="Titre2"/>
      </w:pPr>
    </w:p>
    <w:p w:rsidR="00B15CFF" w:rsidRPr="00B15CFF" w:rsidRDefault="00B15CFF" w:rsidP="004B6E67">
      <w:pPr>
        <w:pStyle w:val="Titre2"/>
      </w:pPr>
      <w:r w:rsidRPr="00B15CFF">
        <w:t>Système cardiovasculaire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augmente la pression artérielle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systolodiastolique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, le débit cardiaque, la fréquence cardiaque, le débit sanguin coronaire et la consommation myocardique d’oxygène, indirectement par le biais d’une stimulation sympathique.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À forte concentration cependant, elle exerce un effet dépresseur myocardique </w:t>
      </w:r>
      <w:proofErr w:type="gramStart"/>
      <w:r w:rsidRPr="00B15CFF">
        <w:rPr>
          <w:rFonts w:ascii="Corbel" w:hAnsi="Corbel" w:cs="Corbel"/>
          <w:kern w:val="24"/>
          <w:sz w:val="24"/>
          <w:szCs w:val="24"/>
        </w:rPr>
        <w:t>direct .</w:t>
      </w:r>
      <w:proofErr w:type="gramEnd"/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Enfin, elle augmente les pressions artérielles pulmonaires et possède une action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antiarythmique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quinidine-like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>.</w:t>
      </w:r>
    </w:p>
    <w:p w:rsidR="004B6E67" w:rsidRDefault="004B6E67" w:rsidP="004B6E67">
      <w:pPr>
        <w:pStyle w:val="Titre2"/>
      </w:pPr>
    </w:p>
    <w:p w:rsidR="00B15CFF" w:rsidRPr="00B15CFF" w:rsidRDefault="00B15CFF" w:rsidP="004B6E67">
      <w:pPr>
        <w:pStyle w:val="Titre2"/>
      </w:pPr>
      <w:r w:rsidRPr="00B15CFF">
        <w:t>Système respiratoire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est un faible dépresseur respiratoire.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Elle induit une bradypnée avec augmentation de l’amplitude respiratoire et diminue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lastRenderedPageBreak/>
        <w:t xml:space="preserve">la réponse ventilatoire à l’hypercapnie chez l’enfant.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Elle diminue la compliance thoraco-pulmonaire (hypertonie musculaire) et entraîne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une broncho-dilatation par diminution de la concentration de calcium intracellulaire.</w:t>
      </w:r>
    </w:p>
    <w:p w:rsidR="00B15CFF" w:rsidRPr="00B15CFF" w:rsidRDefault="00B15CFF" w:rsidP="004B6E67">
      <w:pPr>
        <w:autoSpaceDE w:val="0"/>
        <w:autoSpaceDN w:val="0"/>
        <w:adjustRightInd w:val="0"/>
        <w:spacing w:after="0" w:line="240" w:lineRule="auto"/>
        <w:ind w:left="450"/>
        <w:rPr>
          <w:rFonts w:ascii="Corbel" w:hAnsi="Corbel" w:cs="Corbel"/>
          <w:kern w:val="24"/>
          <w:sz w:val="24"/>
          <w:szCs w:val="24"/>
        </w:rPr>
      </w:pPr>
    </w:p>
    <w:p w:rsidR="00B15CFF" w:rsidRPr="00B15CFF" w:rsidRDefault="00B15CFF" w:rsidP="004B6E67">
      <w:pPr>
        <w:pStyle w:val="Titre2"/>
      </w:pPr>
      <w:r w:rsidRPr="00B15CFF">
        <w:t xml:space="preserve"> Autres systèmes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En obstétrique, la kétamine ne provoque pas d’atonie utérine, et pas de dépression respiratoire ou cardio-circulatoire chez le fœtus.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Elle augmente la pression intraoculaire, provoque une hypertonie musculaire diffuse, sans chute de la langue, et une hyperglycémie.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En obstétrique, la kétamine ne provoque pas d’atonie utérine, et pas de dépression respiratoire ou cardio-circulatoire chez le fœtus.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Elle augmente la pression intraoculaire, provoque une hypertonie musculaire diffuse, sans chute de la langue, et une hyperglycémie.</w:t>
      </w:r>
    </w:p>
    <w:p w:rsidR="00B15CFF" w:rsidRDefault="00B15CFF" w:rsidP="004B6E67">
      <w:pPr>
        <w:pStyle w:val="Titre1"/>
      </w:pPr>
      <w:r w:rsidRPr="00B15CFF">
        <w:t>UTILISATION CLINIQUE</w:t>
      </w:r>
    </w:p>
    <w:tbl>
      <w:tblPr>
        <w:tblStyle w:val="Grilledutableau"/>
        <w:tblW w:w="9396" w:type="dxa"/>
        <w:jc w:val="center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4B6E67" w:rsidRPr="004B6E67" w:rsidTr="004B6E67">
        <w:trPr>
          <w:trHeight w:val="584"/>
          <w:jc w:val="center"/>
        </w:trPr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Voie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Délai</w:t>
            </w:r>
          </w:p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d’action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Effet</w:t>
            </w:r>
          </w:p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maximal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Durée</w:t>
            </w:r>
          </w:p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d’action</w:t>
            </w:r>
          </w:p>
        </w:tc>
        <w:tc>
          <w:tcPr>
            <w:tcW w:w="1880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Durée</w:t>
            </w:r>
          </w:p>
          <w:p w:rsidR="004B6E67" w:rsidRPr="004B6E67" w:rsidRDefault="004B6E67" w:rsidP="004B6E67">
            <w:pPr>
              <w:jc w:val="center"/>
            </w:pPr>
            <w:r w:rsidRPr="004B6E67">
              <w:rPr>
                <w:b/>
                <w:bCs/>
              </w:rPr>
              <w:t>du réveil</w:t>
            </w:r>
          </w:p>
        </w:tc>
      </w:tr>
      <w:tr w:rsidR="004B6E67" w:rsidRPr="004B6E67" w:rsidTr="004B6E67">
        <w:trPr>
          <w:trHeight w:val="246"/>
          <w:jc w:val="center"/>
        </w:trPr>
        <w:tc>
          <w:tcPr>
            <w:tcW w:w="1879" w:type="dxa"/>
            <w:hideMark/>
          </w:tcPr>
          <w:p w:rsidR="004B6E67" w:rsidRPr="004B6E67" w:rsidRDefault="004B6E67" w:rsidP="004B6E67">
            <w:r w:rsidRPr="004B6E67">
              <w:t>IV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&lt; 1 min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2 min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5-12 min</w:t>
            </w:r>
          </w:p>
        </w:tc>
        <w:tc>
          <w:tcPr>
            <w:tcW w:w="1880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60 min</w:t>
            </w:r>
          </w:p>
        </w:tc>
      </w:tr>
      <w:tr w:rsidR="004B6E67" w:rsidRPr="004B6E67" w:rsidTr="004B6E67">
        <w:trPr>
          <w:trHeight w:val="264"/>
          <w:jc w:val="center"/>
        </w:trPr>
        <w:tc>
          <w:tcPr>
            <w:tcW w:w="1879" w:type="dxa"/>
            <w:hideMark/>
          </w:tcPr>
          <w:p w:rsidR="004B6E67" w:rsidRPr="004B6E67" w:rsidRDefault="004B6E67" w:rsidP="004B6E67">
            <w:r w:rsidRPr="004B6E67">
              <w:t>IM-rectale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3-5 mn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12-15 min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15-30 min</w:t>
            </w:r>
          </w:p>
        </w:tc>
        <w:tc>
          <w:tcPr>
            <w:tcW w:w="1880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3-4 h</w:t>
            </w:r>
          </w:p>
        </w:tc>
      </w:tr>
      <w:tr w:rsidR="004B6E67" w:rsidRPr="004B6E67" w:rsidTr="004B6E67">
        <w:trPr>
          <w:trHeight w:val="206"/>
          <w:jc w:val="center"/>
        </w:trPr>
        <w:tc>
          <w:tcPr>
            <w:tcW w:w="1879" w:type="dxa"/>
            <w:hideMark/>
          </w:tcPr>
          <w:p w:rsidR="004B6E67" w:rsidRPr="004B6E67" w:rsidRDefault="004B6E67" w:rsidP="004B6E67">
            <w:r w:rsidRPr="004B6E67">
              <w:t>Orale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20 min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30 min</w:t>
            </w:r>
          </w:p>
        </w:tc>
        <w:tc>
          <w:tcPr>
            <w:tcW w:w="1879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45 min</w:t>
            </w:r>
          </w:p>
        </w:tc>
        <w:tc>
          <w:tcPr>
            <w:tcW w:w="1880" w:type="dxa"/>
            <w:hideMark/>
          </w:tcPr>
          <w:p w:rsidR="004B6E67" w:rsidRPr="004B6E67" w:rsidRDefault="004B6E67" w:rsidP="004B6E67">
            <w:pPr>
              <w:jc w:val="center"/>
            </w:pPr>
            <w:r w:rsidRPr="004B6E67">
              <w:t>120 min</w:t>
            </w:r>
          </w:p>
        </w:tc>
      </w:tr>
    </w:tbl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Par voie épidurale, la durée d’action de la kétamine est de l’ordre de 4 heures.</w:t>
      </w:r>
    </w:p>
    <w:p w:rsid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kétamine a été utilisée pour réaliser une anesthésie locorégionale intraveineuse (suivie d’une anesthésie générale à la levée du garrot).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4110"/>
      </w:tblGrid>
      <w:tr w:rsidR="00DF109D" w:rsidRPr="004B6E67" w:rsidTr="00DF109D">
        <w:trPr>
          <w:trHeight w:val="190"/>
          <w:jc w:val="center"/>
        </w:trPr>
        <w:tc>
          <w:tcPr>
            <w:tcW w:w="2405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b/>
                <w:bCs/>
                <w:kern w:val="24"/>
                <w:sz w:val="24"/>
                <w:szCs w:val="24"/>
              </w:rPr>
              <w:t>Voie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b/>
                <w:bCs/>
                <w:kern w:val="24"/>
                <w:sz w:val="24"/>
                <w:szCs w:val="24"/>
              </w:rPr>
              <w:t>Adulte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b/>
                <w:bCs/>
                <w:kern w:val="24"/>
                <w:sz w:val="24"/>
                <w:szCs w:val="24"/>
              </w:rPr>
              <w:t>Enfant</w:t>
            </w:r>
          </w:p>
        </w:tc>
      </w:tr>
      <w:tr w:rsidR="00DF109D" w:rsidRPr="004B6E67" w:rsidTr="00DF109D">
        <w:trPr>
          <w:trHeight w:val="70"/>
          <w:jc w:val="center"/>
        </w:trPr>
        <w:tc>
          <w:tcPr>
            <w:tcW w:w="2405" w:type="dxa"/>
            <w:hideMark/>
          </w:tcPr>
          <w:p w:rsidR="004B6E67" w:rsidRPr="004B6E67" w:rsidRDefault="004B6E67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Induction (IVD)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1-2 mg/kg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2-3 mg/kg</w:t>
            </w:r>
          </w:p>
        </w:tc>
      </w:tr>
      <w:tr w:rsidR="00DF109D" w:rsidRPr="004B6E67" w:rsidTr="00DF109D">
        <w:trPr>
          <w:trHeight w:val="288"/>
          <w:jc w:val="center"/>
        </w:trPr>
        <w:tc>
          <w:tcPr>
            <w:tcW w:w="2405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 xml:space="preserve">Entretien </w:t>
            </w:r>
            <w:proofErr w:type="gramStart"/>
            <w:r w:rsidR="00DF109D">
              <w:rPr>
                <w:rFonts w:ascii="Corbel" w:hAnsi="Corbel" w:cs="Corbel"/>
                <w:kern w:val="24"/>
                <w:sz w:val="24"/>
                <w:szCs w:val="24"/>
              </w:rPr>
              <w:t xml:space="preserve">( </w:t>
            </w: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Perfusion</w:t>
            </w:r>
            <w:proofErr w:type="gramEnd"/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  <w:lang w:val="el-GR"/>
              </w:rPr>
              <w:t>15-45 μ</w:t>
            </w: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g/kg/min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  <w:lang w:val="el-GR"/>
              </w:rPr>
              <w:t>15-45 μ</w:t>
            </w: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g/kg/min</w:t>
            </w:r>
          </w:p>
        </w:tc>
      </w:tr>
      <w:tr w:rsidR="00DF109D" w:rsidRPr="004B6E67" w:rsidTr="00DF109D">
        <w:trPr>
          <w:trHeight w:val="136"/>
          <w:jc w:val="center"/>
        </w:trPr>
        <w:tc>
          <w:tcPr>
            <w:tcW w:w="2405" w:type="dxa"/>
            <w:hideMark/>
          </w:tcPr>
          <w:p w:rsidR="004B6E67" w:rsidRPr="004B6E67" w:rsidRDefault="004B6E67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IVD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dose après 15-20 min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dose après 15-20 min</w:t>
            </w:r>
          </w:p>
        </w:tc>
      </w:tr>
      <w:tr w:rsidR="00DF109D" w:rsidRPr="004B6E67" w:rsidTr="00DF109D">
        <w:trPr>
          <w:trHeight w:val="122"/>
          <w:jc w:val="center"/>
        </w:trPr>
        <w:tc>
          <w:tcPr>
            <w:tcW w:w="2405" w:type="dxa"/>
            <w:hideMark/>
          </w:tcPr>
          <w:p w:rsidR="004B6E67" w:rsidRPr="004B6E67" w:rsidRDefault="004B6E67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IM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5-10 mg/kg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5-15 mg/kg</w:t>
            </w:r>
          </w:p>
        </w:tc>
      </w:tr>
      <w:tr w:rsidR="00DF109D" w:rsidRPr="004B6E67" w:rsidTr="00DF109D">
        <w:trPr>
          <w:trHeight w:val="240"/>
          <w:jc w:val="center"/>
        </w:trPr>
        <w:tc>
          <w:tcPr>
            <w:tcW w:w="2405" w:type="dxa"/>
            <w:hideMark/>
          </w:tcPr>
          <w:p w:rsidR="004B6E67" w:rsidRPr="004B6E67" w:rsidRDefault="004B6E67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Rectale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-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8-10 mg/kg (résorption</w:t>
            </w:r>
            <w:r w:rsidR="00DF109D">
              <w:rPr>
                <w:rFonts w:ascii="Corbel" w:hAnsi="Corbel" w:cs="Corbel"/>
                <w:kern w:val="24"/>
                <w:sz w:val="24"/>
                <w:szCs w:val="24"/>
              </w:rPr>
              <w:t xml:space="preserve"> </w:t>
            </w: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peu prévisible)</w:t>
            </w:r>
          </w:p>
        </w:tc>
      </w:tr>
      <w:tr w:rsidR="00DF109D" w:rsidRPr="004B6E67" w:rsidTr="00DF109D">
        <w:trPr>
          <w:trHeight w:val="88"/>
          <w:jc w:val="center"/>
        </w:trPr>
        <w:tc>
          <w:tcPr>
            <w:tcW w:w="2405" w:type="dxa"/>
            <w:hideMark/>
          </w:tcPr>
          <w:p w:rsidR="004B6E67" w:rsidRPr="004B6E67" w:rsidRDefault="004B6E67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Épidurale</w:t>
            </w:r>
          </w:p>
        </w:tc>
        <w:tc>
          <w:tcPr>
            <w:tcW w:w="2552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0,2-0,4 mg/kg</w:t>
            </w:r>
          </w:p>
        </w:tc>
        <w:tc>
          <w:tcPr>
            <w:tcW w:w="4110" w:type="dxa"/>
            <w:hideMark/>
          </w:tcPr>
          <w:p w:rsidR="004B6E67" w:rsidRPr="004B6E67" w:rsidRDefault="004B6E67" w:rsidP="00DF109D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4B6E67">
              <w:rPr>
                <w:rFonts w:ascii="Corbel" w:hAnsi="Corbel" w:cs="Corbel"/>
                <w:kern w:val="24"/>
                <w:sz w:val="24"/>
                <w:szCs w:val="24"/>
              </w:rPr>
              <w:t>0,2-0,5 mg/kg</w:t>
            </w:r>
          </w:p>
        </w:tc>
      </w:tr>
      <w:tr w:rsidR="00DF109D" w:rsidRPr="004B6E67" w:rsidTr="00E57E83">
        <w:trPr>
          <w:trHeight w:val="332"/>
          <w:jc w:val="center"/>
        </w:trPr>
        <w:tc>
          <w:tcPr>
            <w:tcW w:w="2405" w:type="dxa"/>
          </w:tcPr>
          <w:p w:rsidR="00DF109D" w:rsidRPr="00DF109D" w:rsidRDefault="00DF109D" w:rsidP="00DF109D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Analgésie</w:t>
            </w:r>
          </w:p>
          <w:p w:rsidR="00DF109D" w:rsidRPr="00DF109D" w:rsidRDefault="00DF109D" w:rsidP="00DF109D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intraveineuse</w:t>
            </w:r>
          </w:p>
          <w:p w:rsidR="00DF109D" w:rsidRPr="004B6E67" w:rsidRDefault="00DF109D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chez l’adulte</w:t>
            </w:r>
          </w:p>
        </w:tc>
        <w:tc>
          <w:tcPr>
            <w:tcW w:w="6662" w:type="dxa"/>
            <w:gridSpan w:val="2"/>
          </w:tcPr>
          <w:p w:rsidR="00DF109D" w:rsidRPr="00DF109D" w:rsidRDefault="00DF109D" w:rsidP="00DF109D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Bolus peropératoire 0,1-0,3 mg·kg-1</w:t>
            </w:r>
          </w:p>
          <w:p w:rsidR="00DF109D" w:rsidRPr="00DF109D" w:rsidRDefault="00DF109D" w:rsidP="00DF109D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 xml:space="preserve">Perfusion postopératoire 0,1-0,2 </w:t>
            </w:r>
            <w:r w:rsidRPr="00DF109D">
              <w:rPr>
                <w:rFonts w:ascii="Corbel" w:hAnsi="Corbel" w:cs="Corbel"/>
                <w:kern w:val="24"/>
                <w:sz w:val="24"/>
                <w:szCs w:val="24"/>
                <w:lang w:val="el-GR"/>
              </w:rPr>
              <w:t>μ</w:t>
            </w: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g·kg-1·min-1</w:t>
            </w:r>
          </w:p>
          <w:p w:rsidR="00DF109D" w:rsidRPr="004B6E67" w:rsidRDefault="00DF109D" w:rsidP="004B6E67">
            <w:pPr>
              <w:autoSpaceDE w:val="0"/>
              <w:autoSpaceDN w:val="0"/>
              <w:adjustRightInd w:val="0"/>
              <w:rPr>
                <w:rFonts w:ascii="Corbel" w:hAnsi="Corbel" w:cs="Corbel"/>
                <w:kern w:val="24"/>
                <w:sz w:val="24"/>
                <w:szCs w:val="24"/>
              </w:rPr>
            </w:pPr>
            <w:r w:rsidRPr="00DF109D">
              <w:rPr>
                <w:rFonts w:ascii="Corbel" w:hAnsi="Corbel" w:cs="Corbel"/>
                <w:kern w:val="24"/>
                <w:sz w:val="24"/>
                <w:szCs w:val="24"/>
              </w:rPr>
              <w:t>Analgésie autocontrôlée bolus de 1 mg</w:t>
            </w:r>
          </w:p>
        </w:tc>
      </w:tr>
    </w:tbl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</w:p>
    <w:p w:rsidR="00B15CFF" w:rsidRPr="00B15CFF" w:rsidRDefault="00B15CFF" w:rsidP="00DF109D">
      <w:pPr>
        <w:pStyle w:val="Titre2"/>
      </w:pPr>
      <w:r w:rsidRPr="00B15CFF">
        <w:t>Indications</w:t>
      </w:r>
    </w:p>
    <w:p w:rsidR="00B15CFF" w:rsidRPr="00B15CFF" w:rsidRDefault="00B15CFF" w:rsidP="00DF109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kétamine est utilisée pour l’induction et l’entretien</w:t>
      </w:r>
      <w:r w:rsidR="00DF109D">
        <w:rPr>
          <w:rFonts w:ascii="Corbel" w:hAnsi="Corbel" w:cs="Corbel"/>
          <w:kern w:val="24"/>
          <w:sz w:val="24"/>
          <w:szCs w:val="24"/>
        </w:rPr>
        <w:t xml:space="preserve"> de l’anesthésie dans certaines 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circonstances : </w:t>
      </w:r>
    </w:p>
    <w:p w:rsidR="00B15CFF" w:rsidRPr="00B15CFF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pansements de brûlés, </w:t>
      </w:r>
    </w:p>
    <w:p w:rsid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enfant, </w:t>
      </w:r>
    </w:p>
    <w:p w:rsidR="00B15CFF" w:rsidRP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sujet âgé, </w:t>
      </w:r>
    </w:p>
    <w:p w:rsid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asthmatique, </w:t>
      </w:r>
    </w:p>
    <w:p w:rsidR="00B15CFF" w:rsidRP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exploration douloureuse, </w:t>
      </w:r>
    </w:p>
    <w:p w:rsidR="00B15CFF" w:rsidRPr="00B15CFF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lastRenderedPageBreak/>
        <w:t xml:space="preserve">obstétrique, </w:t>
      </w:r>
    </w:p>
    <w:p w:rsid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sédation de complément, </w:t>
      </w:r>
    </w:p>
    <w:p w:rsidR="00B15CFF" w:rsidRP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transport, </w:t>
      </w:r>
    </w:p>
    <w:p w:rsidR="00B15CFF" w:rsidRPr="00B15CFF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choc, </w:t>
      </w:r>
    </w:p>
    <w:p w:rsid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médecine de catastrophe</w:t>
      </w:r>
    </w:p>
    <w:p w:rsidR="00B15CFF" w:rsidRP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>anesthésie en situation de pénurie</w:t>
      </w:r>
    </w:p>
    <w:p w:rsidR="00B15CFF" w:rsidRPr="00B15CFF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analgésie postopératoire</w:t>
      </w:r>
    </w:p>
    <w:p w:rsidR="00DF109D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déshydratation ou hémodynamique précaire (tampo</w:t>
      </w:r>
      <w:r w:rsidR="00DF109D">
        <w:rPr>
          <w:rFonts w:ascii="Corbel" w:hAnsi="Corbel" w:cs="Corbel"/>
          <w:kern w:val="24"/>
          <w:sz w:val="24"/>
          <w:szCs w:val="24"/>
        </w:rPr>
        <w:t>nnade, cardiopathie cyanogène),</w:t>
      </w:r>
    </w:p>
    <w:p w:rsidR="00B15CFF" w:rsidRPr="00DF109D" w:rsidRDefault="00DF109D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>anémie</w:t>
      </w:r>
      <w:r w:rsidR="00B15CFF" w:rsidRPr="00DF109D">
        <w:rPr>
          <w:rFonts w:ascii="Corbel" w:hAnsi="Corbel" w:cs="Corbel"/>
          <w:kern w:val="24"/>
          <w:sz w:val="24"/>
          <w:szCs w:val="24"/>
        </w:rPr>
        <w:t xml:space="preserve">, </w:t>
      </w:r>
    </w:p>
    <w:p w:rsidR="00B15CFF" w:rsidRPr="00B15CFF" w:rsidRDefault="00B15CFF" w:rsidP="005203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hypovolémies.</w:t>
      </w:r>
    </w:p>
    <w:p w:rsidR="00B15CFF" w:rsidRPr="00B15CFF" w:rsidRDefault="00B15CFF" w:rsidP="00C665C4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Elle a également été proposée pour l’analgésie intraveineuse, à doses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subanesthésiques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, dans les syndromes douloureux chroniques. </w:t>
      </w:r>
    </w:p>
    <w:p w:rsidR="00DF109D" w:rsidRPr="00DF109D" w:rsidRDefault="00B15CFF" w:rsidP="00DF10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Enfin, elle a été utilisée en analgésie épidurale et intrathécale lors de syndromes douloureux chroniques, d’algodystrophies ou en analgésie postopératoire.</w:t>
      </w:r>
    </w:p>
    <w:p w:rsidR="00DF109D" w:rsidRDefault="00B15CFF" w:rsidP="00DF109D">
      <w:pPr>
        <w:pStyle w:val="Titre2"/>
        <w:rPr>
          <w:rFonts w:ascii="Times New Roman" w:hAnsi="Times New Roman" w:cs="Times New Roman"/>
        </w:rPr>
      </w:pPr>
      <w:r w:rsidRPr="00B15CFF">
        <w:rPr>
          <w:rFonts w:ascii="Times New Roman" w:hAnsi="Times New Roman" w:cs="Times New Roman"/>
        </w:rPr>
        <w:t xml:space="preserve"> </w:t>
      </w:r>
    </w:p>
    <w:p w:rsidR="00B15CFF" w:rsidRPr="00B15CFF" w:rsidRDefault="00B15CFF" w:rsidP="00DF109D">
      <w:pPr>
        <w:pStyle w:val="Titre2"/>
        <w:rPr>
          <w:rFonts w:ascii="Times New Roman" w:hAnsi="Times New Roman" w:cs="Times New Roman"/>
        </w:rPr>
      </w:pPr>
      <w:r w:rsidRPr="00B15CFF">
        <w:t xml:space="preserve"> Contre-indications</w:t>
      </w:r>
    </w:p>
    <w:p w:rsidR="00B15CFF" w:rsidRPr="00B15CFF" w:rsidRDefault="00B15CFF" w:rsidP="00DF109D">
      <w:pPr>
        <w:pStyle w:val="Titre3"/>
      </w:pPr>
      <w:r w:rsidRPr="00B15CFF">
        <w:rPr>
          <w:i/>
          <w:iCs/>
        </w:rPr>
        <w:t xml:space="preserve">Absolues </w:t>
      </w:r>
      <w:r w:rsidRPr="00B15CFF">
        <w:t xml:space="preserve">: elles sont nombreuses et comportent </w:t>
      </w:r>
    </w:p>
    <w:p w:rsidR="00B15CFF" w:rsidRPr="00B15CFF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l’hypersensibilité à la kétamine, </w:t>
      </w:r>
    </w:p>
    <w:p w:rsid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porphyrie, </w:t>
      </w:r>
    </w:p>
    <w:p w:rsidR="00B15CFF" w:rsidRP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l’hypertension artérielle sévère, </w:t>
      </w:r>
    </w:p>
    <w:p w:rsidR="00B15CFF" w:rsidRPr="00B15CFF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l’hypertension intracrânienne, </w:t>
      </w:r>
    </w:p>
    <w:p w:rsid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le coronarien sévère non équilibré, </w:t>
      </w:r>
    </w:p>
    <w:p w:rsidR="00B15CFF" w:rsidRP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l’infarctus de moins de 6 mois, </w:t>
      </w:r>
    </w:p>
    <w:p w:rsidR="00B15CFF" w:rsidRPr="00B15CFF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l’éclampsie et les états pré-éclamptiques, </w:t>
      </w:r>
    </w:p>
    <w:p w:rsid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thyréotoxicose,</w:t>
      </w:r>
    </w:p>
    <w:p w:rsidR="00B15CFF" w:rsidRPr="00DF109D" w:rsidRDefault="00B15CFF" w:rsidP="005203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>les maladies psychiatriques.</w:t>
      </w:r>
    </w:p>
    <w:p w:rsidR="00B15CFF" w:rsidRPr="00B15CFF" w:rsidRDefault="00B15CFF" w:rsidP="00B15CFF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</w:p>
    <w:p w:rsidR="00B15CFF" w:rsidRPr="00B15CFF" w:rsidRDefault="00B15CFF" w:rsidP="00DF109D">
      <w:pPr>
        <w:pStyle w:val="Titre3"/>
      </w:pPr>
      <w:r w:rsidRPr="00B15CFF">
        <w:t xml:space="preserve">Relatives : </w:t>
      </w:r>
    </w:p>
    <w:p w:rsidR="00B15CFF" w:rsidRPr="00B15CFF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chirurgie ophtalmologique, </w:t>
      </w:r>
    </w:p>
    <w:p w:rsidR="00DF109D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chirurgie du carrefour pharyngolaryngé, </w:t>
      </w:r>
    </w:p>
    <w:p w:rsidR="00B15CFF" w:rsidRPr="00DF109D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 xml:space="preserve">toxicomanies, </w:t>
      </w:r>
    </w:p>
    <w:p w:rsidR="00B15CFF" w:rsidRPr="00B15CFF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éthylisme sévère (état de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prédélirium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), </w:t>
      </w:r>
    </w:p>
    <w:p w:rsidR="00DF109D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épilepsie, </w:t>
      </w:r>
    </w:p>
    <w:p w:rsidR="00B15CFF" w:rsidRPr="00DF109D" w:rsidRDefault="00B15CFF" w:rsidP="005203E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DF109D">
        <w:rPr>
          <w:rFonts w:ascii="Corbel" w:hAnsi="Corbel" w:cs="Corbel"/>
          <w:kern w:val="24"/>
          <w:sz w:val="24"/>
          <w:szCs w:val="24"/>
        </w:rPr>
        <w:t>risque d’hyperthermie maligne</w:t>
      </w:r>
    </w:p>
    <w:p w:rsidR="00DF109D" w:rsidRDefault="00DF109D" w:rsidP="00B15CFF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4"/>
          <w:szCs w:val="24"/>
        </w:rPr>
      </w:pPr>
    </w:p>
    <w:p w:rsidR="00B15CFF" w:rsidRPr="00B15CFF" w:rsidRDefault="00B15CFF" w:rsidP="00DF109D">
      <w:pPr>
        <w:pStyle w:val="Titre2"/>
      </w:pPr>
      <w:r w:rsidRPr="00B15CFF">
        <w:t>Restriction de prescription (AMM française)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Les indications analgésiques pures et l’administration épidurale ou intrathécale de kétamine n’ont pas d’AMM.</w:t>
      </w:r>
    </w:p>
    <w:p w:rsidR="00DF109D" w:rsidRDefault="00DF109D" w:rsidP="00B15CFF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4"/>
          <w:szCs w:val="24"/>
        </w:rPr>
      </w:pPr>
    </w:p>
    <w:p w:rsidR="00B15CFF" w:rsidRPr="00B15CFF" w:rsidRDefault="00B15CFF" w:rsidP="00DF109D">
      <w:pPr>
        <w:pStyle w:val="Titre2"/>
      </w:pPr>
      <w:r w:rsidRPr="00B15CFF">
        <w:rPr>
          <w:rFonts w:ascii="Times New Roman" w:hAnsi="Times New Roman" w:cs="Times New Roman"/>
        </w:rPr>
        <w:t xml:space="preserve"> </w:t>
      </w:r>
      <w:r w:rsidRPr="00B15CFF">
        <w:t xml:space="preserve"> Limites et précautions d’utilisation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Une prémédication par un </w:t>
      </w:r>
      <w:r w:rsidRPr="00B15CFF">
        <w:rPr>
          <w:rFonts w:ascii="Corbel" w:hAnsi="Corbel" w:cs="Corbel"/>
          <w:b/>
          <w:bCs/>
          <w:kern w:val="24"/>
          <w:sz w:val="24"/>
          <w:szCs w:val="24"/>
        </w:rPr>
        <w:t>vagolytique</w:t>
      </w:r>
      <w:r w:rsidRPr="00B15CFF">
        <w:rPr>
          <w:rFonts w:ascii="Corbel" w:hAnsi="Corbel" w:cs="Corbel"/>
          <w:kern w:val="24"/>
          <w:sz w:val="24"/>
          <w:szCs w:val="24"/>
        </w:rPr>
        <w:t xml:space="preserve"> est recommandée avant l’utilisation de kétamine.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lastRenderedPageBreak/>
        <w:t>On peut atténuer les effets psychodysleptiques en administrant simultanément des benzodiazépines (</w:t>
      </w:r>
      <w:proofErr w:type="spellStart"/>
      <w:r w:rsidRPr="00B15CFF">
        <w:rPr>
          <w:rFonts w:ascii="Corbel" w:hAnsi="Corbel" w:cs="Corbel"/>
          <w:b/>
          <w:bCs/>
          <w:kern w:val="24"/>
          <w:sz w:val="24"/>
          <w:szCs w:val="24"/>
        </w:rPr>
        <w:t>midazolam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plus efficace que diazépam) ; le réveil dans une ambiance calme ne modifie en rien l’incidence des hallucinations mais un entretien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préanesthésique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expliquant ces phénomènes semble aussi efficace qu’une prévention pharmacologique</w:t>
      </w:r>
      <w:proofErr w:type="gramStart"/>
      <w:r w:rsidRPr="00B15CFF">
        <w:rPr>
          <w:rFonts w:ascii="Corbel" w:hAnsi="Corbel" w:cs="Corbel"/>
          <w:kern w:val="24"/>
          <w:sz w:val="24"/>
          <w:szCs w:val="24"/>
        </w:rPr>
        <w:t>..</w:t>
      </w:r>
      <w:proofErr w:type="gramEnd"/>
    </w:p>
    <w:p w:rsidR="00B15CFF" w:rsidRDefault="00B15CFF" w:rsidP="00DF109D">
      <w:pPr>
        <w:pStyle w:val="Titre1"/>
      </w:pPr>
      <w:r w:rsidRPr="00B15CFF">
        <w:t>INTERACTIONS MÉDICAMENTEUSES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31"/>
        <w:gridCol w:w="4056"/>
        <w:gridCol w:w="3773"/>
      </w:tblGrid>
      <w:tr w:rsidR="00DF109D" w:rsidRPr="00DF109D" w:rsidTr="00C665C4">
        <w:trPr>
          <w:trHeight w:val="320"/>
        </w:trPr>
        <w:tc>
          <w:tcPr>
            <w:tcW w:w="2181" w:type="dxa"/>
            <w:hideMark/>
          </w:tcPr>
          <w:p w:rsidR="00DF109D" w:rsidRPr="00DF109D" w:rsidRDefault="00DF109D" w:rsidP="00C665C4">
            <w:pPr>
              <w:jc w:val="center"/>
            </w:pPr>
            <w:r w:rsidRPr="00DF109D">
              <w:rPr>
                <w:b/>
                <w:bCs/>
              </w:rPr>
              <w:t>Médicaments</w:t>
            </w:r>
          </w:p>
        </w:tc>
        <w:tc>
          <w:tcPr>
            <w:tcW w:w="4083" w:type="dxa"/>
            <w:hideMark/>
          </w:tcPr>
          <w:p w:rsidR="00DF109D" w:rsidRPr="00DF109D" w:rsidRDefault="00DF109D" w:rsidP="00C665C4">
            <w:pPr>
              <w:jc w:val="center"/>
            </w:pPr>
            <w:r w:rsidRPr="00DF109D">
              <w:rPr>
                <w:b/>
                <w:bCs/>
              </w:rPr>
              <w:t>Médicaments Effets pharmacologiques</w:t>
            </w:r>
          </w:p>
        </w:tc>
        <w:tc>
          <w:tcPr>
            <w:tcW w:w="3796" w:type="dxa"/>
            <w:hideMark/>
          </w:tcPr>
          <w:p w:rsidR="00DF109D" w:rsidRPr="00DF109D" w:rsidRDefault="00DF109D" w:rsidP="00C665C4">
            <w:pPr>
              <w:jc w:val="center"/>
            </w:pPr>
            <w:r w:rsidRPr="00DF109D">
              <w:rPr>
                <w:b/>
                <w:bCs/>
              </w:rPr>
              <w:t>Mécanismes</w:t>
            </w:r>
          </w:p>
        </w:tc>
      </w:tr>
      <w:tr w:rsidR="00DF109D" w:rsidRPr="00DF109D" w:rsidTr="00C665C4">
        <w:trPr>
          <w:trHeight w:val="584"/>
        </w:trPr>
        <w:tc>
          <w:tcPr>
            <w:tcW w:w="2181" w:type="dxa"/>
            <w:hideMark/>
          </w:tcPr>
          <w:p w:rsidR="00DF109D" w:rsidRPr="00C665C4" w:rsidRDefault="00DF109D" w:rsidP="00DF109D">
            <w:pPr>
              <w:rPr>
                <w:b/>
              </w:rPr>
            </w:pPr>
            <w:r w:rsidRPr="00C665C4">
              <w:rPr>
                <w:b/>
              </w:rPr>
              <w:t>Dropéridol</w:t>
            </w:r>
          </w:p>
        </w:tc>
        <w:tc>
          <w:tcPr>
            <w:tcW w:w="4083" w:type="dxa"/>
            <w:vAlign w:val="center"/>
            <w:hideMark/>
          </w:tcPr>
          <w:p w:rsidR="00DF109D" w:rsidRPr="00DF109D" w:rsidRDefault="00DF109D" w:rsidP="00C665C4">
            <w:r w:rsidRPr="00DF109D">
              <w:t>Majoration des effets</w:t>
            </w:r>
            <w:r w:rsidR="00C665C4">
              <w:t xml:space="preserve"> </w:t>
            </w:r>
            <w:r w:rsidRPr="00DF109D">
              <w:t>psychodysleptiques</w:t>
            </w:r>
          </w:p>
        </w:tc>
        <w:tc>
          <w:tcPr>
            <w:tcW w:w="3796" w:type="dxa"/>
            <w:vAlign w:val="center"/>
            <w:hideMark/>
          </w:tcPr>
          <w:p w:rsidR="00DF109D" w:rsidRPr="00DF109D" w:rsidRDefault="00DF109D" w:rsidP="00C665C4">
            <w:r w:rsidRPr="00DF109D">
              <w:t>Interaction</w:t>
            </w:r>
            <w:r w:rsidR="00C665C4">
              <w:t xml:space="preserve"> </w:t>
            </w:r>
            <w:r w:rsidRPr="00DF109D">
              <w:t>pharmacodynamique</w:t>
            </w:r>
          </w:p>
          <w:p w:rsidR="00DF109D" w:rsidRPr="00DF109D" w:rsidRDefault="00DF109D" w:rsidP="00C665C4">
            <w:r w:rsidRPr="00DF109D">
              <w:t>(effet additif)</w:t>
            </w:r>
          </w:p>
        </w:tc>
      </w:tr>
      <w:tr w:rsidR="00DF109D" w:rsidRPr="00DF109D" w:rsidTr="00C665C4">
        <w:trPr>
          <w:trHeight w:val="584"/>
        </w:trPr>
        <w:tc>
          <w:tcPr>
            <w:tcW w:w="2181" w:type="dxa"/>
            <w:hideMark/>
          </w:tcPr>
          <w:p w:rsidR="00DF109D" w:rsidRPr="00C665C4" w:rsidRDefault="00DF109D" w:rsidP="00DF109D">
            <w:pPr>
              <w:rPr>
                <w:b/>
              </w:rPr>
            </w:pPr>
            <w:r w:rsidRPr="00C665C4">
              <w:rPr>
                <w:b/>
              </w:rPr>
              <w:t>Benzodiazépines</w:t>
            </w:r>
          </w:p>
        </w:tc>
        <w:tc>
          <w:tcPr>
            <w:tcW w:w="4083" w:type="dxa"/>
            <w:vAlign w:val="center"/>
            <w:hideMark/>
          </w:tcPr>
          <w:p w:rsidR="00DF109D" w:rsidRPr="00DF109D" w:rsidRDefault="00DF109D" w:rsidP="00C665C4">
            <w:r w:rsidRPr="00DF109D">
              <w:t>Diminution des effets</w:t>
            </w:r>
            <w:r w:rsidR="00C665C4">
              <w:t xml:space="preserve"> </w:t>
            </w:r>
            <w:r w:rsidRPr="00DF109D">
              <w:t>psychodysleptiques</w:t>
            </w:r>
          </w:p>
        </w:tc>
        <w:tc>
          <w:tcPr>
            <w:tcW w:w="3796" w:type="dxa"/>
            <w:vAlign w:val="center"/>
            <w:hideMark/>
          </w:tcPr>
          <w:p w:rsidR="00DF109D" w:rsidRPr="00DF109D" w:rsidRDefault="00DF109D" w:rsidP="00C665C4">
            <w:r w:rsidRPr="00DF109D">
              <w:t>Interaction pharmacodynamique</w:t>
            </w:r>
          </w:p>
          <w:p w:rsidR="00DF109D" w:rsidRPr="00DF109D" w:rsidRDefault="00DF109D" w:rsidP="00C665C4">
            <w:r w:rsidRPr="00DF109D">
              <w:t>(action</w:t>
            </w:r>
            <w:r w:rsidR="00C665C4">
              <w:t xml:space="preserve"> </w:t>
            </w:r>
            <w:r w:rsidRPr="00DF109D">
              <w:t>antagoniste centrale)</w:t>
            </w:r>
          </w:p>
        </w:tc>
      </w:tr>
      <w:tr w:rsidR="00DF109D" w:rsidRPr="00DF109D" w:rsidTr="00C665C4">
        <w:trPr>
          <w:trHeight w:val="472"/>
        </w:trPr>
        <w:tc>
          <w:tcPr>
            <w:tcW w:w="2181" w:type="dxa"/>
            <w:hideMark/>
          </w:tcPr>
          <w:p w:rsidR="00DF109D" w:rsidRPr="00C665C4" w:rsidRDefault="00DF109D" w:rsidP="00DF109D">
            <w:pPr>
              <w:rPr>
                <w:b/>
              </w:rPr>
            </w:pPr>
            <w:r w:rsidRPr="00C665C4">
              <w:rPr>
                <w:b/>
              </w:rPr>
              <w:t>Sympathomimétiques</w:t>
            </w:r>
          </w:p>
        </w:tc>
        <w:tc>
          <w:tcPr>
            <w:tcW w:w="4083" w:type="dxa"/>
            <w:vAlign w:val="center"/>
            <w:hideMark/>
          </w:tcPr>
          <w:p w:rsidR="00DF109D" w:rsidRPr="00DF109D" w:rsidRDefault="00DF109D" w:rsidP="00C665C4">
            <w:r w:rsidRPr="00DF109D">
              <w:t>Augmentation</w:t>
            </w:r>
            <w:r w:rsidR="00C665C4">
              <w:t xml:space="preserve"> </w:t>
            </w:r>
            <w:r w:rsidRPr="00DF109D">
              <w:t>des effets</w:t>
            </w:r>
            <w:r w:rsidR="00C665C4">
              <w:t xml:space="preserve"> </w:t>
            </w:r>
            <w:r w:rsidRPr="00DF109D">
              <w:t>sympathomimétiques</w:t>
            </w:r>
          </w:p>
        </w:tc>
        <w:tc>
          <w:tcPr>
            <w:tcW w:w="3796" w:type="dxa"/>
            <w:vAlign w:val="center"/>
            <w:hideMark/>
          </w:tcPr>
          <w:p w:rsidR="00DF109D" w:rsidRPr="00DF109D" w:rsidRDefault="00DF109D" w:rsidP="00C665C4">
            <w:r w:rsidRPr="00DF109D">
              <w:t>Interaction</w:t>
            </w:r>
            <w:r w:rsidR="00C665C4">
              <w:t xml:space="preserve"> </w:t>
            </w:r>
            <w:r w:rsidRPr="00DF109D">
              <w:t>pharmacodynamique</w:t>
            </w:r>
          </w:p>
        </w:tc>
      </w:tr>
      <w:tr w:rsidR="00DF109D" w:rsidRPr="00DF109D" w:rsidTr="00C665C4">
        <w:trPr>
          <w:trHeight w:val="236"/>
        </w:trPr>
        <w:tc>
          <w:tcPr>
            <w:tcW w:w="2181" w:type="dxa"/>
            <w:hideMark/>
          </w:tcPr>
          <w:p w:rsidR="00DF109D" w:rsidRPr="00C665C4" w:rsidRDefault="00DF109D" w:rsidP="00DF109D">
            <w:pPr>
              <w:rPr>
                <w:b/>
              </w:rPr>
            </w:pPr>
            <w:r w:rsidRPr="00C665C4">
              <w:rPr>
                <w:b/>
              </w:rPr>
              <w:t>Curares</w:t>
            </w:r>
          </w:p>
        </w:tc>
        <w:tc>
          <w:tcPr>
            <w:tcW w:w="4083" w:type="dxa"/>
            <w:vAlign w:val="center"/>
            <w:hideMark/>
          </w:tcPr>
          <w:p w:rsidR="00DF109D" w:rsidRPr="00DF109D" w:rsidRDefault="00DF109D" w:rsidP="00C665C4">
            <w:r w:rsidRPr="00DF109D">
              <w:t>Potentialisation</w:t>
            </w:r>
            <w:r w:rsidR="00C665C4">
              <w:t xml:space="preserve"> </w:t>
            </w:r>
            <w:r w:rsidRPr="00DF109D">
              <w:t>de la curarisation</w:t>
            </w:r>
          </w:p>
        </w:tc>
        <w:tc>
          <w:tcPr>
            <w:tcW w:w="3796" w:type="dxa"/>
            <w:vAlign w:val="center"/>
            <w:hideMark/>
          </w:tcPr>
          <w:p w:rsidR="00DF109D" w:rsidRPr="00DF109D" w:rsidRDefault="00DF109D" w:rsidP="00C665C4">
            <w:r w:rsidRPr="00DF109D">
              <w:t>Interaction</w:t>
            </w:r>
            <w:r w:rsidR="00C665C4">
              <w:t xml:space="preserve"> </w:t>
            </w:r>
            <w:r w:rsidRPr="00DF109D">
              <w:t>pharmacodynamique</w:t>
            </w:r>
          </w:p>
        </w:tc>
      </w:tr>
      <w:tr w:rsidR="00C665C4" w:rsidRPr="00C665C4" w:rsidTr="00C665C4">
        <w:trPr>
          <w:trHeight w:val="584"/>
        </w:trPr>
        <w:tc>
          <w:tcPr>
            <w:tcW w:w="2181" w:type="dxa"/>
            <w:hideMark/>
          </w:tcPr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N2O, morphiniques,</w:t>
            </w:r>
          </w:p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anesthésiques volatils</w:t>
            </w:r>
          </w:p>
        </w:tc>
        <w:tc>
          <w:tcPr>
            <w:tcW w:w="4083" w:type="dxa"/>
            <w:vAlign w:val="center"/>
            <w:hideMark/>
          </w:tcPr>
          <w:p w:rsidR="00C665C4" w:rsidRPr="00C665C4" w:rsidRDefault="00C665C4" w:rsidP="00C665C4">
            <w:r w:rsidRPr="00C665C4">
              <w:t>Majoration des</w:t>
            </w:r>
            <w:r>
              <w:t xml:space="preserve"> </w:t>
            </w:r>
            <w:r w:rsidRPr="00C665C4">
              <w:t>effets ; potentialisation</w:t>
            </w:r>
          </w:p>
          <w:p w:rsidR="00C665C4" w:rsidRPr="00C665C4" w:rsidRDefault="00C665C4" w:rsidP="00C665C4">
            <w:r w:rsidRPr="00C665C4">
              <w:t>de la dépression</w:t>
            </w:r>
            <w:r>
              <w:t xml:space="preserve"> </w:t>
            </w:r>
            <w:r w:rsidRPr="00C665C4">
              <w:t>respiratoire ; retard</w:t>
            </w:r>
          </w:p>
          <w:p w:rsidR="00C665C4" w:rsidRPr="00C665C4" w:rsidRDefault="00C665C4" w:rsidP="00C665C4">
            <w:r w:rsidRPr="00C665C4">
              <w:t>de réveil</w:t>
            </w:r>
          </w:p>
        </w:tc>
        <w:tc>
          <w:tcPr>
            <w:tcW w:w="3796" w:type="dxa"/>
            <w:vAlign w:val="center"/>
            <w:hideMark/>
          </w:tcPr>
          <w:p w:rsidR="00C665C4" w:rsidRPr="00C665C4" w:rsidRDefault="00C665C4" w:rsidP="00C665C4">
            <w:r w:rsidRPr="00C665C4">
              <w:t>Interaction</w:t>
            </w:r>
            <w:r>
              <w:t xml:space="preserve"> </w:t>
            </w:r>
            <w:r w:rsidRPr="00C665C4">
              <w:t>pharmacodynamique</w:t>
            </w:r>
          </w:p>
        </w:tc>
      </w:tr>
      <w:tr w:rsidR="00C665C4" w:rsidRPr="00C665C4" w:rsidTr="00C665C4">
        <w:trPr>
          <w:trHeight w:val="584"/>
        </w:trPr>
        <w:tc>
          <w:tcPr>
            <w:tcW w:w="2181" w:type="dxa"/>
            <w:hideMark/>
          </w:tcPr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Alpha et</w:t>
            </w:r>
          </w:p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bêtabloquants,</w:t>
            </w:r>
          </w:p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ganglioplégiques,</w:t>
            </w:r>
          </w:p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inhibiteurs calciques</w:t>
            </w:r>
          </w:p>
        </w:tc>
        <w:tc>
          <w:tcPr>
            <w:tcW w:w="4083" w:type="dxa"/>
            <w:vAlign w:val="center"/>
            <w:hideMark/>
          </w:tcPr>
          <w:p w:rsidR="00C665C4" w:rsidRPr="00C665C4" w:rsidRDefault="00C665C4" w:rsidP="00C665C4">
            <w:r w:rsidRPr="00C665C4">
              <w:t>Dépression</w:t>
            </w:r>
            <w:r>
              <w:t xml:space="preserve"> </w:t>
            </w:r>
            <w:r w:rsidRPr="00C665C4">
              <w:t>respiratoire</w:t>
            </w:r>
          </w:p>
        </w:tc>
        <w:tc>
          <w:tcPr>
            <w:tcW w:w="3796" w:type="dxa"/>
            <w:vAlign w:val="center"/>
            <w:hideMark/>
          </w:tcPr>
          <w:p w:rsidR="00C665C4" w:rsidRPr="00C665C4" w:rsidRDefault="00C665C4" w:rsidP="00C665C4">
            <w:r w:rsidRPr="00C665C4">
              <w:t>Interaction</w:t>
            </w:r>
            <w:r>
              <w:t xml:space="preserve"> </w:t>
            </w:r>
            <w:r w:rsidRPr="00C665C4">
              <w:t>pharmacodynamique</w:t>
            </w:r>
          </w:p>
        </w:tc>
      </w:tr>
      <w:tr w:rsidR="00C665C4" w:rsidRPr="00C665C4" w:rsidTr="00C665C4">
        <w:trPr>
          <w:trHeight w:val="472"/>
        </w:trPr>
        <w:tc>
          <w:tcPr>
            <w:tcW w:w="2181" w:type="dxa"/>
            <w:hideMark/>
          </w:tcPr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Aminophylline</w:t>
            </w:r>
          </w:p>
        </w:tc>
        <w:tc>
          <w:tcPr>
            <w:tcW w:w="4083" w:type="dxa"/>
            <w:vAlign w:val="center"/>
            <w:hideMark/>
          </w:tcPr>
          <w:p w:rsidR="00C665C4" w:rsidRPr="00C665C4" w:rsidRDefault="00C665C4" w:rsidP="00C665C4">
            <w:r w:rsidRPr="00C665C4">
              <w:t>Abaissement du seuil</w:t>
            </w:r>
            <w:r>
              <w:t xml:space="preserve"> </w:t>
            </w:r>
            <w:r w:rsidRPr="00C665C4">
              <w:t>convulsivant</w:t>
            </w:r>
          </w:p>
        </w:tc>
        <w:tc>
          <w:tcPr>
            <w:tcW w:w="3796" w:type="dxa"/>
            <w:vAlign w:val="center"/>
            <w:hideMark/>
          </w:tcPr>
          <w:p w:rsidR="00C665C4" w:rsidRPr="00C665C4" w:rsidRDefault="00C665C4" w:rsidP="00C665C4">
            <w:r w:rsidRPr="00C665C4">
              <w:t>Interaction</w:t>
            </w:r>
            <w:r>
              <w:t xml:space="preserve"> </w:t>
            </w:r>
            <w:r w:rsidRPr="00C665C4">
              <w:t>pharmacodynamique</w:t>
            </w:r>
          </w:p>
        </w:tc>
      </w:tr>
      <w:tr w:rsidR="00C665C4" w:rsidRPr="00C665C4" w:rsidTr="00C665C4">
        <w:trPr>
          <w:trHeight w:val="472"/>
        </w:trPr>
        <w:tc>
          <w:tcPr>
            <w:tcW w:w="2181" w:type="dxa"/>
            <w:hideMark/>
          </w:tcPr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Barbituriques, diazépam,</w:t>
            </w:r>
          </w:p>
          <w:p w:rsidR="00C665C4" w:rsidRPr="00C665C4" w:rsidRDefault="00C665C4" w:rsidP="00C665C4">
            <w:pPr>
              <w:rPr>
                <w:b/>
              </w:rPr>
            </w:pPr>
            <w:r w:rsidRPr="00C665C4">
              <w:rPr>
                <w:b/>
              </w:rPr>
              <w:t>prométhazine</w:t>
            </w:r>
          </w:p>
        </w:tc>
        <w:tc>
          <w:tcPr>
            <w:tcW w:w="4083" w:type="dxa"/>
            <w:vAlign w:val="center"/>
            <w:hideMark/>
          </w:tcPr>
          <w:p w:rsidR="00C665C4" w:rsidRPr="00C665C4" w:rsidRDefault="00C665C4" w:rsidP="00C665C4">
            <w:r w:rsidRPr="00C665C4">
              <w:t>Précipitation</w:t>
            </w:r>
          </w:p>
        </w:tc>
        <w:tc>
          <w:tcPr>
            <w:tcW w:w="3796" w:type="dxa"/>
            <w:vAlign w:val="center"/>
            <w:hideMark/>
          </w:tcPr>
          <w:p w:rsidR="00C665C4" w:rsidRPr="00C665C4" w:rsidRDefault="00C665C4" w:rsidP="00C665C4">
            <w:r w:rsidRPr="00C665C4">
              <w:t>Incompatibilité</w:t>
            </w:r>
            <w:r>
              <w:t xml:space="preserve"> </w:t>
            </w:r>
            <w:r w:rsidRPr="00C665C4">
              <w:t>physicochimique</w:t>
            </w:r>
          </w:p>
        </w:tc>
      </w:tr>
    </w:tbl>
    <w:p w:rsidR="00B15CFF" w:rsidRPr="00B15CFF" w:rsidRDefault="00B15CFF" w:rsidP="00C665C4">
      <w:pPr>
        <w:pStyle w:val="Titre1"/>
      </w:pPr>
      <w:r w:rsidRPr="00B15CFF">
        <w:t>EFFETS SECONDAIRES ET SURDOSAGE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kétamine augmente la sécrétion salivaire (surtout chez l’enfant).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On recommande une prémédication par un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parasympatholytique</w:t>
      </w:r>
      <w:proofErr w:type="gramStart"/>
      <w:r w:rsidRPr="00B15CFF">
        <w:rPr>
          <w:rFonts w:ascii="Corbel" w:hAnsi="Corbel" w:cs="Corbel"/>
          <w:kern w:val="24"/>
          <w:sz w:val="24"/>
          <w:szCs w:val="24"/>
        </w:rPr>
        <w:t>,car</w:t>
      </w:r>
      <w:proofErr w:type="spellEnd"/>
      <w:proofErr w:type="gramEnd"/>
      <w:r w:rsidRPr="00B15CFF">
        <w:rPr>
          <w:rFonts w:ascii="Corbel" w:hAnsi="Corbel" w:cs="Corbel"/>
          <w:kern w:val="24"/>
          <w:sz w:val="24"/>
          <w:szCs w:val="24"/>
        </w:rPr>
        <w:t xml:space="preserve"> un laryngospasme est possible.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Les nausées et vomissements sont rares.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Hallucinations, rêves, agitation, troubles psychiques au réveil sont atténués par les benzodiazépines.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bookmarkStart w:id="0" w:name="_GoBack"/>
      <w:bookmarkEnd w:id="0"/>
      <w:r w:rsidRPr="00B15CFF">
        <w:rPr>
          <w:rFonts w:ascii="Corbel" w:hAnsi="Corbel" w:cs="Corbel"/>
          <w:kern w:val="24"/>
          <w:sz w:val="24"/>
          <w:szCs w:val="24"/>
        </w:rPr>
        <w:t xml:space="preserve">Des accès de toux et un hoquet, ainsi que des mouvements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tonicocloniques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sont possibles chez l’enfant. 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 xml:space="preserve">La kétamine n’est pas </w:t>
      </w:r>
      <w:proofErr w:type="spellStart"/>
      <w:r w:rsidRPr="00B15CFF">
        <w:rPr>
          <w:rFonts w:ascii="Corbel" w:hAnsi="Corbel" w:cs="Corbel"/>
          <w:kern w:val="24"/>
          <w:sz w:val="24"/>
          <w:szCs w:val="24"/>
        </w:rPr>
        <w:t>histaminolibératrice</w:t>
      </w:r>
      <w:proofErr w:type="spellEnd"/>
      <w:r w:rsidRPr="00B15CFF">
        <w:rPr>
          <w:rFonts w:ascii="Corbel" w:hAnsi="Corbel" w:cs="Corbel"/>
          <w:kern w:val="24"/>
          <w:sz w:val="24"/>
          <w:szCs w:val="24"/>
        </w:rPr>
        <w:t xml:space="preserve"> et les réactions allergiques sont exceptionnelles.</w:t>
      </w:r>
    </w:p>
    <w:p w:rsidR="00B15CFF" w:rsidRPr="00B15CFF" w:rsidRDefault="00B15CFF" w:rsidP="00B15C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orbel" w:hAnsi="Corbel" w:cs="Corbel"/>
          <w:kern w:val="24"/>
          <w:sz w:val="24"/>
          <w:szCs w:val="24"/>
        </w:rPr>
      </w:pPr>
      <w:r w:rsidRPr="00B15CFF">
        <w:rPr>
          <w:rFonts w:ascii="Corbel" w:hAnsi="Corbel" w:cs="Corbel"/>
          <w:kern w:val="24"/>
          <w:sz w:val="24"/>
          <w:szCs w:val="24"/>
        </w:rPr>
        <w:t>La marge de sécurité de la kétamine est importante ; un surdosage peut retarder le réveil ou provoquer une dépression respiratoire nécessitant parfois une ventilation assistée.</w:t>
      </w:r>
    </w:p>
    <w:p w:rsidR="008B3D6F" w:rsidRPr="00B15CFF" w:rsidRDefault="00615469">
      <w:pPr>
        <w:rPr>
          <w:sz w:val="24"/>
          <w:szCs w:val="24"/>
        </w:rPr>
      </w:pPr>
    </w:p>
    <w:sectPr w:rsidR="008B3D6F" w:rsidRPr="00B15CFF" w:rsidSect="008D34F5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69" w:rsidRDefault="00615469" w:rsidP="00B15CFF">
      <w:pPr>
        <w:spacing w:after="0" w:line="240" w:lineRule="auto"/>
      </w:pPr>
      <w:r>
        <w:separator/>
      </w:r>
    </w:p>
  </w:endnote>
  <w:endnote w:type="continuationSeparator" w:id="0">
    <w:p w:rsidR="00615469" w:rsidRDefault="00615469" w:rsidP="00B1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393743"/>
      <w:docPartObj>
        <w:docPartGallery w:val="Page Numbers (Bottom of Page)"/>
        <w:docPartUnique/>
      </w:docPartObj>
    </w:sdtPr>
    <w:sdtEndPr/>
    <w:sdtContent>
      <w:p w:rsidR="00C665C4" w:rsidRDefault="00C665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EF">
          <w:rPr>
            <w:noProof/>
          </w:rPr>
          <w:t>5</w:t>
        </w:r>
        <w:r>
          <w:fldChar w:fldCharType="end"/>
        </w:r>
      </w:p>
    </w:sdtContent>
  </w:sdt>
  <w:p w:rsidR="00C665C4" w:rsidRDefault="00C3350B">
    <w:pPr>
      <w:pStyle w:val="Pieddepage"/>
    </w:pPr>
    <w:r>
      <w:t>INFSPM de CONSTANTINE</w:t>
    </w:r>
  </w:p>
  <w:p w:rsidR="00C3350B" w:rsidRDefault="00C3350B">
    <w:pPr>
      <w:pStyle w:val="Pieddepage"/>
    </w:pPr>
    <w:r>
      <w:t>BMS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69" w:rsidRDefault="00615469" w:rsidP="00B15CFF">
      <w:pPr>
        <w:spacing w:after="0" w:line="240" w:lineRule="auto"/>
      </w:pPr>
      <w:r>
        <w:separator/>
      </w:r>
    </w:p>
  </w:footnote>
  <w:footnote w:type="continuationSeparator" w:id="0">
    <w:p w:rsidR="00615469" w:rsidRDefault="00615469" w:rsidP="00B1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FF" w:rsidRPr="00B15CFF" w:rsidRDefault="00B15CFF" w:rsidP="00B15CFF">
    <w:pPr>
      <w:autoSpaceDE w:val="0"/>
      <w:autoSpaceDN w:val="0"/>
      <w:adjustRightInd w:val="0"/>
      <w:spacing w:after="0" w:line="240" w:lineRule="auto"/>
      <w:rPr>
        <w:rFonts w:ascii="Corbel" w:hAnsi="Corbel" w:cs="Corbel"/>
        <w:kern w:val="24"/>
        <w:sz w:val="32"/>
        <w:szCs w:val="48"/>
      </w:rPr>
    </w:pPr>
    <w:r w:rsidRPr="00B15CFF">
      <w:rPr>
        <w:rFonts w:ascii="Corbel" w:hAnsi="Corbel" w:cs="Corbel"/>
        <w:kern w:val="24"/>
        <w:sz w:val="24"/>
        <w:szCs w:val="48"/>
      </w:rPr>
      <w:t>Kétamine</w:t>
    </w:r>
  </w:p>
  <w:p w:rsidR="00B15CFF" w:rsidRPr="00B15CFF" w:rsidRDefault="00B15CFF" w:rsidP="00B15CFF">
    <w:pPr>
      <w:autoSpaceDE w:val="0"/>
      <w:autoSpaceDN w:val="0"/>
      <w:adjustRightInd w:val="0"/>
      <w:spacing w:after="0" w:line="240" w:lineRule="auto"/>
      <w:rPr>
        <w:rFonts w:ascii="Corbel" w:hAnsi="Corbel" w:cs="Corbel"/>
        <w:kern w:val="24"/>
        <w:sz w:val="24"/>
        <w:szCs w:val="24"/>
      </w:rPr>
    </w:pPr>
    <w:r>
      <w:rPr>
        <w:rFonts w:ascii="Corbel" w:hAnsi="Corbel" w:cs="Corbel"/>
        <w:b/>
        <w:bCs/>
        <w:kern w:val="24"/>
        <w:sz w:val="24"/>
        <w:szCs w:val="24"/>
      </w:rPr>
      <w:t>Traité d’anesthésie générale-</w:t>
    </w:r>
    <w:r>
      <w:rPr>
        <w:rFonts w:ascii="Corbel" w:hAnsi="Corbel" w:cs="Corbel"/>
        <w:kern w:val="24"/>
        <w:sz w:val="24"/>
        <w:szCs w:val="24"/>
      </w:rPr>
      <w:t xml:space="preserve"> Bernard DALENS</w:t>
    </w:r>
  </w:p>
  <w:p w:rsidR="00B15CFF" w:rsidRDefault="00B15C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BCD9C4"/>
    <w:lvl w:ilvl="0">
      <w:numFmt w:val="bullet"/>
      <w:lvlText w:val="*"/>
      <w:lvlJc w:val="left"/>
    </w:lvl>
  </w:abstractNum>
  <w:abstractNum w:abstractNumId="1" w15:restartNumberingAfterBreak="0">
    <w:nsid w:val="0F392291"/>
    <w:multiLevelType w:val="hybridMultilevel"/>
    <w:tmpl w:val="B99C47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76480"/>
    <w:multiLevelType w:val="hybridMultilevel"/>
    <w:tmpl w:val="C088BF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A4BF7"/>
    <w:multiLevelType w:val="hybridMultilevel"/>
    <w:tmpl w:val="20801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36AA"/>
    <w:multiLevelType w:val="hybridMultilevel"/>
    <w:tmpl w:val="8CB0A4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76D9D"/>
    <w:multiLevelType w:val="hybridMultilevel"/>
    <w:tmpl w:val="010A21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46DCC"/>
    <w:multiLevelType w:val="hybridMultilevel"/>
    <w:tmpl w:val="D722E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F"/>
    <w:rsid w:val="00271B0D"/>
    <w:rsid w:val="004B6E67"/>
    <w:rsid w:val="00514183"/>
    <w:rsid w:val="005203EF"/>
    <w:rsid w:val="00615469"/>
    <w:rsid w:val="006C2079"/>
    <w:rsid w:val="00A96FEB"/>
    <w:rsid w:val="00B15CFF"/>
    <w:rsid w:val="00C3350B"/>
    <w:rsid w:val="00C665C4"/>
    <w:rsid w:val="00DF109D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220FA8-06AB-43C3-8402-CE2CBC8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5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1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CFF"/>
  </w:style>
  <w:style w:type="paragraph" w:styleId="Pieddepage">
    <w:name w:val="footer"/>
    <w:basedOn w:val="Normal"/>
    <w:link w:val="PieddepageCar"/>
    <w:uiPriority w:val="99"/>
    <w:unhideWhenUsed/>
    <w:rsid w:val="00B1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CFF"/>
  </w:style>
  <w:style w:type="character" w:customStyle="1" w:styleId="Titre1Car">
    <w:name w:val="Titre 1 Car"/>
    <w:basedOn w:val="Policepardfaut"/>
    <w:link w:val="Titre1"/>
    <w:uiPriority w:val="9"/>
    <w:rsid w:val="00B15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1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6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10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BENELMIR Med Salah</dc:creator>
  <cp:keywords/>
  <dc:description/>
  <cp:lastModifiedBy>BENELMIR Med Salah</cp:lastModifiedBy>
  <cp:revision>3</cp:revision>
  <dcterms:created xsi:type="dcterms:W3CDTF">2017-10-17T18:54:00Z</dcterms:created>
  <dcterms:modified xsi:type="dcterms:W3CDTF">2017-12-08T20:01:00Z</dcterms:modified>
</cp:coreProperties>
</file>