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56" w:rsidRPr="002E2CEC" w:rsidRDefault="002F1356" w:rsidP="002F1356">
      <w:pPr>
        <w:numPr>
          <w:ilvl w:val="0"/>
          <w:numId w:val="6"/>
        </w:numPr>
        <w:autoSpaceDE w:val="0"/>
        <w:autoSpaceDN w:val="0"/>
        <w:adjustRightInd w:val="0"/>
        <w:spacing w:after="0" w:line="240" w:lineRule="auto"/>
        <w:ind w:left="576" w:hanging="446"/>
        <w:rPr>
          <w:rFonts w:ascii="Gill Sans MT" w:hAnsi="Gill Sans MT" w:cs="Gill Sans MT"/>
          <w:b/>
          <w:kern w:val="24"/>
          <w:sz w:val="24"/>
        </w:rPr>
      </w:pPr>
      <w:r w:rsidRPr="002E2CEC">
        <w:rPr>
          <w:rFonts w:ascii="Gill Sans MT" w:hAnsi="Gill Sans MT" w:cs="Gill Sans MT"/>
          <w:b/>
          <w:kern w:val="24"/>
          <w:sz w:val="24"/>
        </w:rPr>
        <w:t xml:space="preserve">Propriétés physicochimiques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Très lipophile</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Base faible : pKa = 4,24 </w:t>
      </w:r>
      <w:r w:rsidRPr="002F1356">
        <w:sym w:font="Symbol" w:char="F0DE"/>
      </w:r>
      <w:r w:rsidRPr="00FF37C9">
        <w:rPr>
          <w:rFonts w:ascii="Gill Sans MT" w:hAnsi="Gill Sans MT" w:cs="Gill Sans MT"/>
          <w:kern w:val="24"/>
        </w:rPr>
        <w:t xml:space="preserve"> au pH physiologique de 7,40 elle n’est pratiquement pas ionisée (1 %).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Liaison aux protéines modérée = 76,5 % (en majorité avec l'albumine ; 2,5 % aux gammaglobulines). </w:t>
      </w:r>
    </w:p>
    <w:p w:rsidR="002E2CEC" w:rsidRPr="002E2CEC" w:rsidRDefault="002E2CEC" w:rsidP="002E2CEC">
      <w:pPr>
        <w:autoSpaceDE w:val="0"/>
        <w:autoSpaceDN w:val="0"/>
        <w:adjustRightInd w:val="0"/>
        <w:spacing w:after="0" w:line="240" w:lineRule="auto"/>
        <w:rPr>
          <w:rFonts w:ascii="Gill Sans MT" w:hAnsi="Gill Sans MT" w:cs="Gill Sans MT"/>
          <w:kern w:val="24"/>
        </w:rPr>
      </w:pPr>
    </w:p>
    <w:p w:rsidR="002F1356" w:rsidRPr="00924D0F" w:rsidRDefault="002F1356" w:rsidP="002F1356">
      <w:pPr>
        <w:numPr>
          <w:ilvl w:val="0"/>
          <w:numId w:val="6"/>
        </w:numPr>
        <w:autoSpaceDE w:val="0"/>
        <w:autoSpaceDN w:val="0"/>
        <w:adjustRightInd w:val="0"/>
        <w:spacing w:after="0" w:line="240" w:lineRule="auto"/>
        <w:ind w:left="576" w:hanging="446"/>
        <w:rPr>
          <w:rFonts w:ascii="Gill Sans MT" w:hAnsi="Gill Sans MT" w:cs="Gill Sans MT"/>
          <w:b/>
          <w:kern w:val="24"/>
          <w:sz w:val="28"/>
        </w:rPr>
      </w:pPr>
      <w:r w:rsidRPr="00924D0F">
        <w:rPr>
          <w:rFonts w:ascii="Gill Sans MT" w:hAnsi="Gill Sans MT" w:cs="Gill Sans MT"/>
          <w:b/>
          <w:kern w:val="24"/>
          <w:sz w:val="28"/>
        </w:rPr>
        <w:t>Présentation</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Conditionné sous deux formes : d'induction et de perfusion. </w:t>
      </w:r>
    </w:p>
    <w:p w:rsidR="002F1356" w:rsidRPr="00FF37C9" w:rsidRDefault="002F1356" w:rsidP="00FF37C9">
      <w:pPr>
        <w:pStyle w:val="Paragraphedeliste"/>
        <w:numPr>
          <w:ilvl w:val="0"/>
          <w:numId w:val="39"/>
        </w:numPr>
        <w:autoSpaceDE w:val="0"/>
        <w:autoSpaceDN w:val="0"/>
        <w:adjustRightInd w:val="0"/>
        <w:spacing w:after="0" w:line="240" w:lineRule="auto"/>
        <w:rPr>
          <w:rFonts w:ascii="Gill Sans MT" w:hAnsi="Gill Sans MT" w:cs="Gill Sans MT"/>
          <w:kern w:val="24"/>
        </w:rPr>
      </w:pPr>
      <w:r w:rsidRPr="00FF37C9">
        <w:rPr>
          <w:rFonts w:ascii="Gill Sans MT" w:hAnsi="Gill Sans MT" w:cs="Gill Sans MT"/>
          <w:kern w:val="24"/>
        </w:rPr>
        <w:t xml:space="preserve">Induction : ampoules de 10 ml (20 mg d'étomidate base+ 3,5 ml de solvant, le propylène glycol). </w:t>
      </w:r>
    </w:p>
    <w:p w:rsidR="002F1356" w:rsidRPr="00FF37C9" w:rsidRDefault="002F1356" w:rsidP="00FF37C9">
      <w:pPr>
        <w:pStyle w:val="Paragraphedeliste"/>
        <w:numPr>
          <w:ilvl w:val="0"/>
          <w:numId w:val="39"/>
        </w:numPr>
        <w:autoSpaceDE w:val="0"/>
        <w:autoSpaceDN w:val="0"/>
        <w:adjustRightInd w:val="0"/>
        <w:spacing w:after="0" w:line="240" w:lineRule="auto"/>
        <w:rPr>
          <w:rFonts w:ascii="Gill Sans MT" w:hAnsi="Gill Sans MT" w:cs="Gill Sans MT"/>
          <w:kern w:val="24"/>
        </w:rPr>
      </w:pPr>
      <w:r w:rsidRPr="00FF37C9">
        <w:rPr>
          <w:rFonts w:ascii="Gill Sans MT" w:hAnsi="Gill Sans MT" w:cs="Gill Sans MT"/>
          <w:kern w:val="24"/>
        </w:rPr>
        <w:t xml:space="preserve">Perfusion : ampoules de 1 ml (143 mg de chlorhydrate d’étomidate, soit 125 mg d'étomidate base dans 1 ml d'éthanol.) L'ampoule est diluée extemporanément dans un soluté salé à 0,9 % ou glucosé à 5 ou 10 % </w:t>
      </w:r>
    </w:p>
    <w:p w:rsidR="002E2CEC" w:rsidRPr="002F1356" w:rsidRDefault="002E2CEC" w:rsidP="002E2CEC">
      <w:pPr>
        <w:autoSpaceDE w:val="0"/>
        <w:autoSpaceDN w:val="0"/>
        <w:adjustRightInd w:val="0"/>
        <w:spacing w:after="0" w:line="240" w:lineRule="auto"/>
        <w:ind w:left="360"/>
        <w:rPr>
          <w:rFonts w:ascii="Gill Sans MT" w:hAnsi="Gill Sans MT" w:cs="Gill Sans MT"/>
          <w:kern w:val="24"/>
        </w:rPr>
      </w:pPr>
    </w:p>
    <w:p w:rsidR="002E2CEC" w:rsidRPr="002E2CEC" w:rsidRDefault="002F1356" w:rsidP="002E2CEC">
      <w:pPr>
        <w:numPr>
          <w:ilvl w:val="0"/>
          <w:numId w:val="6"/>
        </w:numPr>
        <w:autoSpaceDE w:val="0"/>
        <w:autoSpaceDN w:val="0"/>
        <w:adjustRightInd w:val="0"/>
        <w:spacing w:after="0" w:line="240" w:lineRule="auto"/>
        <w:ind w:left="576" w:hanging="446"/>
        <w:rPr>
          <w:rFonts w:ascii="Gill Sans MT" w:hAnsi="Gill Sans MT" w:cs="Gill Sans MT"/>
          <w:b/>
          <w:kern w:val="24"/>
          <w:sz w:val="28"/>
        </w:rPr>
      </w:pPr>
      <w:r w:rsidRPr="002E2CEC">
        <w:rPr>
          <w:rFonts w:ascii="Gill Sans MT" w:hAnsi="Gill Sans MT" w:cs="Gill Sans MT"/>
          <w:b/>
          <w:kern w:val="24"/>
          <w:sz w:val="28"/>
        </w:rPr>
        <w:t xml:space="preserve">Propriétés </w:t>
      </w:r>
      <w:r w:rsidRPr="002E2CEC">
        <w:rPr>
          <w:rFonts w:ascii="Gill Sans MT" w:hAnsi="Gill Sans MT" w:cs="Gill Sans MT"/>
          <w:b/>
          <w:kern w:val="24"/>
          <w:sz w:val="32"/>
        </w:rPr>
        <w:t>pharmacocinétiques</w:t>
      </w:r>
    </w:p>
    <w:p w:rsidR="002F1356" w:rsidRPr="002F1356" w:rsidRDefault="002F1356" w:rsidP="002F1356">
      <w:pPr>
        <w:numPr>
          <w:ilvl w:val="1"/>
          <w:numId w:val="6"/>
        </w:numPr>
        <w:autoSpaceDE w:val="0"/>
        <w:autoSpaceDN w:val="0"/>
        <w:adjustRightInd w:val="0"/>
        <w:spacing w:after="0"/>
        <w:rPr>
          <w:rFonts w:ascii="Gill Sans MT" w:hAnsi="Gill Sans MT" w:cs="Gill Sans MT"/>
          <w:b/>
          <w:bCs/>
          <w:kern w:val="24"/>
        </w:rPr>
      </w:pPr>
      <w:r w:rsidRPr="002F1356">
        <w:rPr>
          <w:rFonts w:ascii="Gill Sans MT" w:hAnsi="Gill Sans MT" w:cs="Gill Sans MT"/>
          <w:b/>
          <w:bCs/>
          <w:kern w:val="24"/>
        </w:rPr>
        <w:t xml:space="preserve">Distribution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Après une dose unique en IV, cinétique triexponentielle.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 distribution initiale =2 à 3 min (se fait dans un compartiment central incluant le sang et le cerveau).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Redistribution = 20 à 25 min (se fait rapidement vers un compartiment périphérique, (deuxième phase de décroissance plasmatique,)</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Un équilibre plus lent s'établit ensuite entre le compartiment central et un compartiment profond.</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Cette dernière phase dure 4 à 5 h et correspond à l'élimination du produit.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VD est élevé 4,5 l/kg car la molécule est très lipophile ; le volume du compartiment central ne représente que 7 % du </w:t>
      </w:r>
      <w:proofErr w:type="spellStart"/>
      <w:r w:rsidRPr="00FF37C9">
        <w:rPr>
          <w:rFonts w:ascii="Gill Sans MT" w:hAnsi="Gill Sans MT" w:cs="Gill Sans MT"/>
          <w:kern w:val="24"/>
        </w:rPr>
        <w:t>VDss</w:t>
      </w:r>
      <w:proofErr w:type="spellEnd"/>
      <w:r w:rsidRPr="00FF37C9">
        <w:rPr>
          <w:rFonts w:ascii="Gill Sans MT" w:hAnsi="Gill Sans MT" w:cs="Gill Sans MT"/>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Répartition dans le sang total : 38 % dans les hématies, 48 % protéines plasmatiques et 14 % sous forme libre.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Le produit étant très liposoluble et sa fraction libre étant presque totalement non ionisée (99 %), la traversée des barrières hémato encéphalique et placentaire est rapide.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 concentration chez le fœtus est modérée : rapport fœto-maternel de 0,51 ± 0,3  </w:t>
      </w:r>
    </w:p>
    <w:p w:rsidR="002F1356" w:rsidRPr="002F1356" w:rsidRDefault="002F1356" w:rsidP="002F1356">
      <w:pPr>
        <w:autoSpaceDE w:val="0"/>
        <w:autoSpaceDN w:val="0"/>
        <w:adjustRightInd w:val="0"/>
        <w:spacing w:after="0" w:line="240" w:lineRule="auto"/>
        <w:rPr>
          <w:rFonts w:ascii="Gill Sans MT" w:hAnsi="Gill Sans MT" w:cs="Gill Sans MT"/>
          <w:kern w:val="24"/>
        </w:rPr>
      </w:pPr>
    </w:p>
    <w:p w:rsidR="002F1356" w:rsidRPr="00FF37C9" w:rsidRDefault="002F1356" w:rsidP="002F1356">
      <w:pPr>
        <w:numPr>
          <w:ilvl w:val="1"/>
          <w:numId w:val="6"/>
        </w:numPr>
        <w:autoSpaceDE w:val="0"/>
        <w:autoSpaceDN w:val="0"/>
        <w:adjustRightInd w:val="0"/>
        <w:spacing w:after="0"/>
        <w:rPr>
          <w:rFonts w:ascii="Gill Sans MT" w:hAnsi="Gill Sans MT" w:cs="Gill Sans MT"/>
          <w:b/>
          <w:kern w:val="24"/>
        </w:rPr>
      </w:pPr>
      <w:r w:rsidRPr="00FF37C9">
        <w:rPr>
          <w:rFonts w:ascii="Gill Sans MT" w:hAnsi="Gill Sans MT" w:cs="Gill Sans MT"/>
          <w:b/>
          <w:bCs/>
          <w:kern w:val="24"/>
        </w:rPr>
        <w:t>Biotransformation et élimination</w:t>
      </w:r>
      <w:r w:rsidRPr="00FF37C9">
        <w:rPr>
          <w:rFonts w:ascii="Gill Sans MT" w:hAnsi="Gill Sans MT" w:cs="Gill Sans MT"/>
          <w:b/>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Rapidement hydrolysé par les estérases hépatiques.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Clairance plasmatique totale (</w:t>
      </w:r>
      <w:proofErr w:type="spellStart"/>
      <w:r w:rsidRPr="00FF37C9">
        <w:rPr>
          <w:rFonts w:ascii="Gill Sans MT" w:hAnsi="Gill Sans MT" w:cs="Gill Sans MT"/>
          <w:kern w:val="24"/>
        </w:rPr>
        <w:t>Clp</w:t>
      </w:r>
      <w:proofErr w:type="spellEnd"/>
      <w:r w:rsidRPr="00FF37C9">
        <w:rPr>
          <w:rFonts w:ascii="Gill Sans MT" w:hAnsi="Gill Sans MT" w:cs="Gill Sans MT"/>
          <w:kern w:val="24"/>
        </w:rPr>
        <w:t xml:space="preserve">) ≈ clairance hépatique (le classe parmi les molécules à coefficient d'extraction hépatique élevé : 0,8.)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Toute diminution du débit sanguin hépatique </w:t>
      </w:r>
      <w:r w:rsidR="00AE63AA" w:rsidRPr="00FF37C9">
        <w:rPr>
          <w:rFonts w:ascii="Gill Sans MT" w:hAnsi="Gill Sans MT" w:cs="Gill Sans MT"/>
          <w:kern w:val="24"/>
        </w:rPr>
        <w:t>(Q</w:t>
      </w:r>
      <w:r w:rsidRPr="00FF37C9">
        <w:rPr>
          <w:rFonts w:ascii="Gill Sans MT" w:hAnsi="Gill Sans MT" w:cs="Gill Sans MT"/>
          <w:kern w:val="24"/>
        </w:rPr>
        <w:t xml:space="preserve"> ° h) abaissera donc la </w:t>
      </w:r>
      <w:proofErr w:type="spellStart"/>
      <w:r w:rsidRPr="00FF37C9">
        <w:rPr>
          <w:rFonts w:ascii="Gill Sans MT" w:hAnsi="Gill Sans MT" w:cs="Gill Sans MT"/>
          <w:kern w:val="24"/>
        </w:rPr>
        <w:t>Clp</w:t>
      </w:r>
      <w:proofErr w:type="spellEnd"/>
      <w:r w:rsidRPr="00FF37C9">
        <w:rPr>
          <w:rFonts w:ascii="Gill Sans MT" w:hAnsi="Gill Sans MT" w:cs="Gill Sans MT"/>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Malgré la petite fraction de produit présente dans le compartiment central, le coefficient d'extraction élevé permet une élimination rapide : 90 % en 24 h, principalement par voie urinaire (78 %).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Seuls 2 % de cette élimination se font sous forme inchangée, le reste est représenté par des métabolites inactifs, essentiellement l'acide carboxylique </w:t>
      </w:r>
    </w:p>
    <w:p w:rsidR="002F1356" w:rsidRPr="002F1356" w:rsidRDefault="002F1356" w:rsidP="002F1356">
      <w:pPr>
        <w:autoSpaceDE w:val="0"/>
        <w:autoSpaceDN w:val="0"/>
        <w:adjustRightInd w:val="0"/>
        <w:spacing w:after="0" w:line="240" w:lineRule="auto"/>
        <w:rPr>
          <w:rFonts w:ascii="Gill Sans MT" w:hAnsi="Gill Sans MT" w:cs="Gill Sans MT"/>
          <w:kern w:val="24"/>
        </w:rPr>
      </w:pPr>
    </w:p>
    <w:p w:rsidR="002F1356" w:rsidRPr="00FF37C9" w:rsidRDefault="002F1356" w:rsidP="002F1356">
      <w:pPr>
        <w:numPr>
          <w:ilvl w:val="1"/>
          <w:numId w:val="6"/>
        </w:numPr>
        <w:autoSpaceDE w:val="0"/>
        <w:autoSpaceDN w:val="0"/>
        <w:adjustRightInd w:val="0"/>
        <w:spacing w:after="0"/>
        <w:rPr>
          <w:rFonts w:ascii="Gill Sans MT" w:hAnsi="Gill Sans MT" w:cs="Gill Sans MT"/>
          <w:b/>
          <w:kern w:val="24"/>
        </w:rPr>
      </w:pPr>
      <w:r w:rsidRPr="00FF37C9">
        <w:rPr>
          <w:rFonts w:ascii="Gill Sans MT" w:hAnsi="Gill Sans MT" w:cs="Gill Sans MT"/>
          <w:b/>
          <w:bCs/>
          <w:kern w:val="24"/>
        </w:rPr>
        <w:t>Cinétique de l'étomidate en perfusion</w:t>
      </w:r>
      <w:r w:rsidRPr="00FF37C9">
        <w:rPr>
          <w:rFonts w:ascii="Gill Sans MT" w:hAnsi="Gill Sans MT" w:cs="Gill Sans MT"/>
          <w:b/>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 rapidité de sa distribution initiale et de sa redistribution périphérique destinent l'étomidate à une utilisation en perfusion.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Un bolus de 0,3 mg/kg permet de remplir le volume initial de distribution (</w:t>
      </w:r>
      <w:proofErr w:type="spellStart"/>
      <w:r w:rsidRPr="00FF37C9">
        <w:rPr>
          <w:rFonts w:ascii="Gill Sans MT" w:hAnsi="Gill Sans MT" w:cs="Gill Sans MT"/>
          <w:kern w:val="24"/>
        </w:rPr>
        <w:t>Vdc</w:t>
      </w:r>
      <w:proofErr w:type="spellEnd"/>
      <w:r w:rsidRPr="00FF37C9">
        <w:rPr>
          <w:rFonts w:ascii="Gill Sans MT" w:hAnsi="Gill Sans MT" w:cs="Gill Sans MT"/>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L'entretien est alors assuré par une dose destinée à compenser la perte due à l'élimination du produit, donc calculée d'après la clairance.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Pour des perfusions d'une durée n'excédant </w:t>
      </w:r>
      <w:proofErr w:type="spellStart"/>
      <w:r w:rsidRPr="00FF37C9">
        <w:rPr>
          <w:rFonts w:ascii="Gill Sans MT" w:hAnsi="Gill Sans MT" w:cs="Gill Sans MT"/>
          <w:kern w:val="24"/>
        </w:rPr>
        <w:t>par</w:t>
      </w:r>
      <w:proofErr w:type="spellEnd"/>
      <w:r w:rsidRPr="00FF37C9">
        <w:rPr>
          <w:rFonts w:ascii="Gill Sans MT" w:hAnsi="Gill Sans MT" w:cs="Gill Sans MT"/>
          <w:kern w:val="24"/>
        </w:rPr>
        <w:t xml:space="preserve"> 2 h, l'équilibre de distribution n'est pas encore achevé à la fin de la perfusion.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Lors de son arrêt, la concentration minimale hypnotique se situe dans la phase rapide de la courbe de décroissance plasmatique et le réveil est précoce : 10 à 15 minutes.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lastRenderedPageBreak/>
        <w:t xml:space="preserve">Pour des durées de perfusion supérieures à 2 h, le troisième compartiment a eu le temps de se remplir. Lors de l'arrêt de la perfusion, la concentration hypnotique minimale n'est atteinte que tardivement et le réveil est retardé.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Une perfusion de 48 h montre que l'état stationnaire est obtenu après 4 à 5 h et qu'il existe à ce stade une relation linéaire entre la dose et la concentration plasmatique obtenue. </w:t>
      </w:r>
    </w:p>
    <w:p w:rsidR="002F1356" w:rsidRPr="002F1356" w:rsidRDefault="002F1356" w:rsidP="002F1356">
      <w:pPr>
        <w:autoSpaceDE w:val="0"/>
        <w:autoSpaceDN w:val="0"/>
        <w:adjustRightInd w:val="0"/>
        <w:spacing w:after="0" w:line="240" w:lineRule="auto"/>
        <w:rPr>
          <w:rFonts w:ascii="Gill Sans MT" w:hAnsi="Gill Sans MT" w:cs="Gill Sans MT"/>
          <w:kern w:val="24"/>
        </w:rPr>
      </w:pPr>
    </w:p>
    <w:p w:rsidR="002F1356" w:rsidRPr="00FF37C9" w:rsidRDefault="002F1356" w:rsidP="002F1356">
      <w:pPr>
        <w:numPr>
          <w:ilvl w:val="1"/>
          <w:numId w:val="6"/>
        </w:numPr>
        <w:autoSpaceDE w:val="0"/>
        <w:autoSpaceDN w:val="0"/>
        <w:adjustRightInd w:val="0"/>
        <w:spacing w:after="0"/>
        <w:rPr>
          <w:rFonts w:ascii="Gill Sans MT" w:hAnsi="Gill Sans MT" w:cs="Gill Sans MT"/>
          <w:b/>
          <w:kern w:val="24"/>
        </w:rPr>
      </w:pPr>
      <w:r w:rsidRPr="00FF37C9">
        <w:rPr>
          <w:rFonts w:ascii="Gill Sans MT" w:hAnsi="Gill Sans MT" w:cs="Gill Sans MT"/>
          <w:b/>
          <w:bCs/>
          <w:kern w:val="24"/>
        </w:rPr>
        <w:t>Perfusion continue</w:t>
      </w:r>
      <w:r w:rsidRPr="00FF37C9">
        <w:rPr>
          <w:rFonts w:ascii="Gill Sans MT" w:hAnsi="Gill Sans MT" w:cs="Gill Sans MT"/>
          <w:b/>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Administré en perfusion continue et aux doses habituellement utilisées la pharmacocinétique du propofol est linéaire : le plateau de concentration mesuré (</w:t>
      </w:r>
      <w:proofErr w:type="spellStart"/>
      <w:r w:rsidRPr="00FF37C9">
        <w:rPr>
          <w:rFonts w:ascii="Gill Sans MT" w:hAnsi="Gill Sans MT" w:cs="Gill Sans MT"/>
          <w:kern w:val="24"/>
        </w:rPr>
        <w:t>steady</w:t>
      </w:r>
      <w:proofErr w:type="spellEnd"/>
      <w:r w:rsidRPr="00FF37C9">
        <w:rPr>
          <w:rFonts w:ascii="Gill Sans MT" w:hAnsi="Gill Sans MT" w:cs="Gill Sans MT"/>
          <w:kern w:val="24"/>
        </w:rPr>
        <w:t xml:space="preserve">-state) est proportionnel au débit de perfusion.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 concentration mesurée après 2 heures de perfusion continue est d'environ 85 % de la valeur d'équilibre. </w:t>
      </w:r>
    </w:p>
    <w:p w:rsidR="002F1356" w:rsidRPr="002F1356" w:rsidRDefault="002F1356" w:rsidP="002F1356">
      <w:pPr>
        <w:autoSpaceDE w:val="0"/>
        <w:autoSpaceDN w:val="0"/>
        <w:adjustRightInd w:val="0"/>
        <w:spacing w:after="0" w:line="240" w:lineRule="auto"/>
        <w:rPr>
          <w:rFonts w:ascii="Gill Sans MT" w:hAnsi="Gill Sans MT" w:cs="Gill Sans MT"/>
          <w:kern w:val="24"/>
        </w:rPr>
      </w:pPr>
    </w:p>
    <w:p w:rsidR="002F1356" w:rsidRPr="00FF37C9" w:rsidRDefault="002F1356" w:rsidP="002F1356">
      <w:pPr>
        <w:numPr>
          <w:ilvl w:val="1"/>
          <w:numId w:val="6"/>
        </w:numPr>
        <w:autoSpaceDE w:val="0"/>
        <w:autoSpaceDN w:val="0"/>
        <w:adjustRightInd w:val="0"/>
        <w:spacing w:after="0"/>
        <w:rPr>
          <w:rFonts w:ascii="Gill Sans MT" w:hAnsi="Gill Sans MT" w:cs="Gill Sans MT"/>
          <w:b/>
          <w:kern w:val="24"/>
        </w:rPr>
      </w:pPr>
      <w:r w:rsidRPr="00FF37C9">
        <w:rPr>
          <w:rFonts w:ascii="Gill Sans MT" w:hAnsi="Gill Sans MT" w:cs="Gill Sans MT"/>
          <w:b/>
          <w:bCs/>
          <w:kern w:val="24"/>
        </w:rPr>
        <w:t>Facteurs de variation de la pharmacocinétique</w:t>
      </w:r>
      <w:r w:rsidRPr="00FF37C9">
        <w:rPr>
          <w:rFonts w:ascii="Gill Sans MT" w:hAnsi="Gill Sans MT" w:cs="Gill Sans MT"/>
          <w:b/>
          <w:kern w:val="24"/>
        </w:rPr>
        <w:t xml:space="preserve"> </w:t>
      </w:r>
    </w:p>
    <w:p w:rsidR="002F1356" w:rsidRPr="002F1356" w:rsidRDefault="002F1356" w:rsidP="002F1356">
      <w:pPr>
        <w:numPr>
          <w:ilvl w:val="2"/>
          <w:numId w:val="6"/>
        </w:numPr>
        <w:autoSpaceDE w:val="0"/>
        <w:autoSpaceDN w:val="0"/>
        <w:adjustRightInd w:val="0"/>
        <w:spacing w:after="0" w:line="240" w:lineRule="auto"/>
        <w:rPr>
          <w:rFonts w:ascii="Gill Sans MT" w:hAnsi="Gill Sans MT" w:cs="Gill Sans MT"/>
          <w:kern w:val="24"/>
        </w:rPr>
      </w:pPr>
      <w:r w:rsidRPr="002F1356">
        <w:rPr>
          <w:rFonts w:ascii="Gill Sans MT" w:hAnsi="Gill Sans MT" w:cs="Gill Sans MT"/>
          <w:b/>
          <w:bCs/>
          <w:i/>
          <w:iCs/>
          <w:kern w:val="24"/>
        </w:rPr>
        <w:t>Variations physiologiques</w:t>
      </w:r>
      <w:r w:rsidRPr="002F1356">
        <w:rPr>
          <w:rFonts w:ascii="Gill Sans MT" w:hAnsi="Gill Sans MT" w:cs="Gill Sans MT"/>
          <w:kern w:val="24"/>
        </w:rPr>
        <w:t xml:space="preserve"> </w:t>
      </w:r>
    </w:p>
    <w:p w:rsidR="002F1356" w:rsidRPr="002F1356" w:rsidRDefault="002F1356" w:rsidP="002F1356">
      <w:pPr>
        <w:numPr>
          <w:ilvl w:val="3"/>
          <w:numId w:val="6"/>
        </w:numPr>
        <w:autoSpaceDE w:val="0"/>
        <w:autoSpaceDN w:val="0"/>
        <w:adjustRightInd w:val="0"/>
        <w:spacing w:after="0" w:line="240" w:lineRule="auto"/>
        <w:rPr>
          <w:rFonts w:ascii="Gill Sans MT" w:hAnsi="Gill Sans MT" w:cs="Gill Sans MT"/>
          <w:kern w:val="24"/>
        </w:rPr>
      </w:pPr>
      <w:r w:rsidRPr="00DC253C">
        <w:rPr>
          <w:rFonts w:ascii="Gill Sans MT" w:hAnsi="Gill Sans MT" w:cs="Gill Sans MT"/>
          <w:b/>
          <w:kern w:val="24"/>
        </w:rPr>
        <w:t>Enfant</w:t>
      </w:r>
      <w:r w:rsidRPr="002F1356">
        <w:rPr>
          <w:rFonts w:ascii="Gill Sans MT" w:hAnsi="Gill Sans MT" w:cs="Gill Sans MT"/>
          <w:kern w:val="24"/>
        </w:rPr>
        <w:t xml:space="preserve"> :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Le </w:t>
      </w:r>
      <w:proofErr w:type="spellStart"/>
      <w:r w:rsidRPr="00FF37C9">
        <w:rPr>
          <w:rFonts w:ascii="Gill Sans MT" w:hAnsi="Gill Sans MT" w:cs="Gill Sans MT"/>
          <w:kern w:val="24"/>
        </w:rPr>
        <w:t>Vdc</w:t>
      </w:r>
      <w:proofErr w:type="spellEnd"/>
      <w:r w:rsidRPr="00FF37C9">
        <w:rPr>
          <w:rFonts w:ascii="Gill Sans MT" w:hAnsi="Gill Sans MT" w:cs="Gill Sans MT"/>
          <w:kern w:val="24"/>
        </w:rPr>
        <w:t xml:space="preserve"> de est supérieur à celui de </w:t>
      </w:r>
      <w:r w:rsidR="00DC253C" w:rsidRPr="00FF37C9">
        <w:rPr>
          <w:rFonts w:ascii="Gill Sans MT" w:hAnsi="Gill Sans MT" w:cs="Gill Sans MT"/>
          <w:kern w:val="24"/>
        </w:rPr>
        <w:t>l’adulte ;</w:t>
      </w:r>
      <w:r w:rsidRPr="00FF37C9">
        <w:rPr>
          <w:rFonts w:ascii="Gill Sans MT" w:hAnsi="Gill Sans MT" w:cs="Gill Sans MT"/>
          <w:kern w:val="24"/>
        </w:rPr>
        <w:t xml:space="preserve"> l'équilibre se faisant plus lentement entre le </w:t>
      </w:r>
      <w:proofErr w:type="spellStart"/>
      <w:r w:rsidRPr="00FF37C9">
        <w:rPr>
          <w:rFonts w:ascii="Gill Sans MT" w:hAnsi="Gill Sans MT" w:cs="Gill Sans MT"/>
          <w:kern w:val="24"/>
        </w:rPr>
        <w:t>Vdc</w:t>
      </w:r>
      <w:proofErr w:type="spellEnd"/>
      <w:r w:rsidRPr="00FF37C9">
        <w:rPr>
          <w:rFonts w:ascii="Gill Sans MT" w:hAnsi="Gill Sans MT" w:cs="Gill Sans MT"/>
          <w:kern w:val="24"/>
        </w:rPr>
        <w:t xml:space="preserve"> et le </w:t>
      </w:r>
      <w:proofErr w:type="spellStart"/>
      <w:r w:rsidRPr="00FF37C9">
        <w:rPr>
          <w:rFonts w:ascii="Gill Sans MT" w:hAnsi="Gill Sans MT" w:cs="Gill Sans MT"/>
          <w:kern w:val="24"/>
        </w:rPr>
        <w:t>VDss</w:t>
      </w:r>
      <w:proofErr w:type="spellEnd"/>
      <w:r w:rsidRPr="00FF37C9">
        <w:rPr>
          <w:rFonts w:ascii="Gill Sans MT" w:hAnsi="Gill Sans MT" w:cs="Gill Sans MT"/>
          <w:kern w:val="24"/>
        </w:rPr>
        <w:t xml:space="preserve">, la demi-vie initiale est plus longue. </w:t>
      </w:r>
    </w:p>
    <w:p w:rsidR="00DC253C"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De plus la </w:t>
      </w:r>
      <w:proofErr w:type="spellStart"/>
      <w:r w:rsidRPr="00FF37C9">
        <w:rPr>
          <w:rFonts w:ascii="Gill Sans MT" w:hAnsi="Gill Sans MT" w:cs="Gill Sans MT"/>
          <w:kern w:val="24"/>
        </w:rPr>
        <w:t>Clp</w:t>
      </w:r>
      <w:proofErr w:type="spellEnd"/>
      <w:r w:rsidRPr="00FF37C9">
        <w:rPr>
          <w:rFonts w:ascii="Gill Sans MT" w:hAnsi="Gill Sans MT" w:cs="Gill Sans MT"/>
          <w:kern w:val="24"/>
        </w:rPr>
        <w:t xml:space="preserve"> est plus élevée du fait de l'augmentation de la vitesse de métabolisation hépatique et de celle du Q ° h. </w:t>
      </w:r>
    </w:p>
    <w:p w:rsidR="002F1356" w:rsidRPr="00DC253C" w:rsidRDefault="002F1356" w:rsidP="002F1356">
      <w:pPr>
        <w:numPr>
          <w:ilvl w:val="3"/>
          <w:numId w:val="6"/>
        </w:numPr>
        <w:autoSpaceDE w:val="0"/>
        <w:autoSpaceDN w:val="0"/>
        <w:adjustRightInd w:val="0"/>
        <w:spacing w:after="0" w:line="240" w:lineRule="auto"/>
        <w:rPr>
          <w:rFonts w:ascii="Gill Sans MT" w:hAnsi="Gill Sans MT" w:cs="Gill Sans MT"/>
          <w:b/>
          <w:kern w:val="24"/>
        </w:rPr>
      </w:pPr>
      <w:r w:rsidRPr="00DC253C">
        <w:rPr>
          <w:rFonts w:ascii="Gill Sans MT" w:hAnsi="Gill Sans MT" w:cs="Gill Sans MT"/>
          <w:b/>
          <w:kern w:val="24"/>
        </w:rPr>
        <w:t xml:space="preserve">Adulte + 65 ans :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Diminution du </w:t>
      </w:r>
      <w:proofErr w:type="spellStart"/>
      <w:r w:rsidRPr="00FF37C9">
        <w:rPr>
          <w:rFonts w:ascii="Gill Sans MT" w:hAnsi="Gill Sans MT" w:cs="Gill Sans MT"/>
          <w:kern w:val="24"/>
        </w:rPr>
        <w:t>Vdc</w:t>
      </w:r>
      <w:proofErr w:type="spellEnd"/>
      <w:r w:rsidRPr="00FF37C9">
        <w:rPr>
          <w:rFonts w:ascii="Gill Sans MT" w:hAnsi="Gill Sans MT" w:cs="Gill Sans MT"/>
          <w:kern w:val="24"/>
        </w:rPr>
        <w:t xml:space="preserve"> et de la </w:t>
      </w:r>
      <w:proofErr w:type="spellStart"/>
      <w:proofErr w:type="gramStart"/>
      <w:r w:rsidRPr="00FF37C9">
        <w:rPr>
          <w:rFonts w:ascii="Gill Sans MT" w:hAnsi="Gill Sans MT" w:cs="Gill Sans MT"/>
          <w:kern w:val="24"/>
        </w:rPr>
        <w:t>Clp</w:t>
      </w:r>
      <w:proofErr w:type="spellEnd"/>
      <w:r w:rsidRPr="00FF37C9">
        <w:rPr>
          <w:rFonts w:ascii="Gill Sans MT" w:hAnsi="Gill Sans MT" w:cs="Gill Sans MT"/>
          <w:kern w:val="24"/>
        </w:rPr>
        <w:t xml:space="preserve"> .</w:t>
      </w:r>
      <w:proofErr w:type="gramEnd"/>
      <w:r w:rsidRPr="00FF37C9">
        <w:rPr>
          <w:rFonts w:ascii="Gill Sans MT" w:hAnsi="Gill Sans MT" w:cs="Gill Sans MT"/>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 baisse de la </w:t>
      </w:r>
      <w:proofErr w:type="spellStart"/>
      <w:r w:rsidRPr="00FF37C9">
        <w:rPr>
          <w:rFonts w:ascii="Gill Sans MT" w:hAnsi="Gill Sans MT" w:cs="Gill Sans MT"/>
          <w:kern w:val="24"/>
        </w:rPr>
        <w:t>Clp</w:t>
      </w:r>
      <w:proofErr w:type="spellEnd"/>
      <w:r w:rsidRPr="00FF37C9">
        <w:rPr>
          <w:rFonts w:ascii="Gill Sans MT" w:hAnsi="Gill Sans MT" w:cs="Gill Sans MT"/>
          <w:kern w:val="24"/>
        </w:rPr>
        <w:t xml:space="preserve"> est expliquée par celle du Q ° h, entraînant un allongemen</w:t>
      </w:r>
      <w:r w:rsidR="00DC253C" w:rsidRPr="00FF37C9">
        <w:rPr>
          <w:rFonts w:ascii="Gill Sans MT" w:hAnsi="Gill Sans MT" w:cs="Gill Sans MT"/>
          <w:kern w:val="24"/>
        </w:rPr>
        <w:t>t de la demi-vie d'élimination</w:t>
      </w:r>
    </w:p>
    <w:p w:rsidR="00DC253C" w:rsidRPr="00DC253C" w:rsidRDefault="00DC253C" w:rsidP="00DC253C">
      <w:pPr>
        <w:autoSpaceDE w:val="0"/>
        <w:autoSpaceDN w:val="0"/>
        <w:adjustRightInd w:val="0"/>
        <w:spacing w:after="0" w:line="240" w:lineRule="auto"/>
        <w:ind w:left="1260"/>
        <w:rPr>
          <w:rFonts w:ascii="Gill Sans MT" w:hAnsi="Gill Sans MT" w:cs="Gill Sans MT"/>
          <w:kern w:val="24"/>
        </w:rPr>
      </w:pPr>
    </w:p>
    <w:p w:rsidR="00DC253C" w:rsidRPr="00FF37C9" w:rsidRDefault="002F1356" w:rsidP="00DC253C">
      <w:pPr>
        <w:numPr>
          <w:ilvl w:val="2"/>
          <w:numId w:val="6"/>
        </w:numPr>
        <w:autoSpaceDE w:val="0"/>
        <w:autoSpaceDN w:val="0"/>
        <w:adjustRightInd w:val="0"/>
        <w:spacing w:after="0" w:line="240" w:lineRule="auto"/>
        <w:rPr>
          <w:rFonts w:ascii="Gill Sans MT" w:hAnsi="Gill Sans MT" w:cs="Gill Sans MT"/>
          <w:b/>
          <w:kern w:val="24"/>
        </w:rPr>
      </w:pPr>
      <w:r w:rsidRPr="00FF37C9">
        <w:rPr>
          <w:rFonts w:ascii="Gill Sans MT" w:hAnsi="Gill Sans MT" w:cs="Gill Sans MT"/>
          <w:b/>
          <w:bCs/>
          <w:i/>
          <w:iCs/>
          <w:kern w:val="24"/>
        </w:rPr>
        <w:t>Variations pathologiques</w:t>
      </w:r>
      <w:r w:rsidRPr="00FF37C9">
        <w:rPr>
          <w:rFonts w:ascii="Gill Sans MT" w:hAnsi="Gill Sans MT" w:cs="Gill Sans MT"/>
          <w:b/>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Malades </w:t>
      </w:r>
      <w:r w:rsidR="00DC253C" w:rsidRPr="00FF37C9">
        <w:rPr>
          <w:rFonts w:ascii="Gill Sans MT" w:hAnsi="Gill Sans MT" w:cs="Gill Sans MT"/>
          <w:kern w:val="24"/>
        </w:rPr>
        <w:t>cirrhotiques :</w:t>
      </w:r>
      <w:r w:rsidRPr="00FF37C9">
        <w:rPr>
          <w:rFonts w:ascii="Gill Sans MT" w:hAnsi="Gill Sans MT" w:cs="Gill Sans MT"/>
          <w:kern w:val="24"/>
        </w:rPr>
        <w:t xml:space="preserve"> </w:t>
      </w:r>
      <w:proofErr w:type="spellStart"/>
      <w:r w:rsidRPr="00FF37C9">
        <w:rPr>
          <w:rFonts w:ascii="Gill Sans MT" w:hAnsi="Gill Sans MT" w:cs="Gill Sans MT"/>
          <w:kern w:val="24"/>
        </w:rPr>
        <w:t>VDss</w:t>
      </w:r>
      <w:proofErr w:type="spellEnd"/>
      <w:r w:rsidRPr="00FF37C9">
        <w:rPr>
          <w:rFonts w:ascii="Gill Sans MT" w:hAnsi="Gill Sans MT" w:cs="Gill Sans MT"/>
          <w:kern w:val="24"/>
        </w:rPr>
        <w:t xml:space="preserve"> et demi-vie </w:t>
      </w:r>
      <w:r w:rsidR="00DC253C" w:rsidRPr="00FF37C9">
        <w:rPr>
          <w:rFonts w:ascii="Gill Sans MT" w:hAnsi="Gill Sans MT" w:cs="Gill Sans MT"/>
          <w:kern w:val="24"/>
        </w:rPr>
        <w:t>d’élimination deux fois supérieure</w:t>
      </w:r>
      <w:r w:rsidRPr="00FF37C9">
        <w:rPr>
          <w:rFonts w:ascii="Gill Sans MT" w:hAnsi="Gill Sans MT" w:cs="Gill Sans MT"/>
          <w:kern w:val="24"/>
        </w:rPr>
        <w:t xml:space="preserve"> à la normale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Le retard d'élimination est mis sur le compte de l'important volume de distribution.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Insuffisants hépatiques : réduction de la </w:t>
      </w:r>
      <w:proofErr w:type="spellStart"/>
      <w:r w:rsidRPr="00FF37C9">
        <w:rPr>
          <w:rFonts w:ascii="Gill Sans MT" w:hAnsi="Gill Sans MT" w:cs="Gill Sans MT"/>
          <w:kern w:val="24"/>
        </w:rPr>
        <w:t>Clp</w:t>
      </w:r>
      <w:proofErr w:type="spellEnd"/>
      <w:r w:rsidRPr="00FF37C9">
        <w:rPr>
          <w:rFonts w:ascii="Gill Sans MT" w:hAnsi="Gill Sans MT" w:cs="Gill Sans MT"/>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Propriétés pharmacocinétiques </w:t>
      </w:r>
    </w:p>
    <w:p w:rsidR="00DC253C" w:rsidRPr="00DC253C" w:rsidRDefault="00DC253C" w:rsidP="00DC253C">
      <w:pPr>
        <w:autoSpaceDE w:val="0"/>
        <w:autoSpaceDN w:val="0"/>
        <w:adjustRightInd w:val="0"/>
        <w:spacing w:after="0" w:line="240" w:lineRule="auto"/>
        <w:rPr>
          <w:rFonts w:ascii="Gill Sans MT" w:hAnsi="Gill Sans MT" w:cs="Gill Sans MT"/>
          <w:kern w:val="24"/>
        </w:rPr>
      </w:pPr>
    </w:p>
    <w:p w:rsidR="002F1356" w:rsidRPr="00FF37C9" w:rsidRDefault="002F1356" w:rsidP="00DC253C">
      <w:pPr>
        <w:numPr>
          <w:ilvl w:val="2"/>
          <w:numId w:val="6"/>
        </w:numPr>
        <w:autoSpaceDE w:val="0"/>
        <w:autoSpaceDN w:val="0"/>
        <w:adjustRightInd w:val="0"/>
        <w:spacing w:after="0" w:line="240" w:lineRule="auto"/>
        <w:rPr>
          <w:rFonts w:ascii="Gill Sans MT" w:hAnsi="Gill Sans MT" w:cs="Gill Sans MT"/>
          <w:b/>
          <w:kern w:val="24"/>
        </w:rPr>
      </w:pPr>
      <w:r w:rsidRPr="00FF37C9">
        <w:rPr>
          <w:rFonts w:ascii="Gill Sans MT" w:hAnsi="Gill Sans MT" w:cs="Gill Sans MT"/>
          <w:b/>
          <w:bCs/>
          <w:i/>
          <w:iCs/>
          <w:kern w:val="24"/>
        </w:rPr>
        <w:t>Interférences médicamenteuses</w:t>
      </w:r>
      <w:r w:rsidRPr="00FF37C9">
        <w:rPr>
          <w:rFonts w:ascii="Gill Sans MT" w:hAnsi="Gill Sans MT" w:cs="Gill Sans MT"/>
          <w:b/>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Inhibition du métabolisme hépatique de certains agents anesthésiques, qui pourrait retarder l'élimination de produits à clairance hépatique basse comme le diazépam, mais pas ceux ayant une clairance élevée comme le fentanyl par exemple.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Une augmentation de la ½t de l'étomidate par de hautes doses de morphine a également été notée. </w:t>
      </w:r>
    </w:p>
    <w:p w:rsidR="00DC253C" w:rsidRPr="00DC253C" w:rsidRDefault="00DC253C" w:rsidP="00DC253C">
      <w:pPr>
        <w:autoSpaceDE w:val="0"/>
        <w:autoSpaceDN w:val="0"/>
        <w:adjustRightInd w:val="0"/>
        <w:spacing w:after="0" w:line="240" w:lineRule="auto"/>
        <w:rPr>
          <w:rFonts w:ascii="Gill Sans MT" w:hAnsi="Gill Sans MT" w:cs="Gill Sans MT"/>
          <w:kern w:val="24"/>
        </w:rPr>
      </w:pPr>
    </w:p>
    <w:p w:rsidR="002F1356" w:rsidRPr="002E2CEC" w:rsidRDefault="002F1356" w:rsidP="002F1356">
      <w:pPr>
        <w:numPr>
          <w:ilvl w:val="0"/>
          <w:numId w:val="6"/>
        </w:numPr>
        <w:autoSpaceDE w:val="0"/>
        <w:autoSpaceDN w:val="0"/>
        <w:adjustRightInd w:val="0"/>
        <w:spacing w:after="0" w:line="240" w:lineRule="auto"/>
        <w:ind w:left="576" w:hanging="446"/>
        <w:rPr>
          <w:rFonts w:ascii="Gill Sans MT" w:hAnsi="Gill Sans MT" w:cs="Gill Sans MT"/>
          <w:b/>
          <w:kern w:val="24"/>
          <w:sz w:val="28"/>
        </w:rPr>
      </w:pPr>
      <w:r w:rsidRPr="002E2CEC">
        <w:rPr>
          <w:rFonts w:ascii="Gill Sans MT" w:hAnsi="Gill Sans MT" w:cs="Gill Sans MT"/>
          <w:b/>
          <w:kern w:val="24"/>
          <w:sz w:val="28"/>
        </w:rPr>
        <w:t xml:space="preserve">Effets pharmacodynamiques </w:t>
      </w:r>
    </w:p>
    <w:p w:rsidR="002F1356" w:rsidRPr="00FF37C9" w:rsidRDefault="002F1356" w:rsidP="00DC253C">
      <w:pPr>
        <w:numPr>
          <w:ilvl w:val="1"/>
          <w:numId w:val="6"/>
        </w:numPr>
        <w:autoSpaceDE w:val="0"/>
        <w:autoSpaceDN w:val="0"/>
        <w:adjustRightInd w:val="0"/>
        <w:spacing w:after="0" w:line="240" w:lineRule="auto"/>
        <w:rPr>
          <w:rFonts w:ascii="Gill Sans MT" w:hAnsi="Gill Sans MT" w:cs="Gill Sans MT"/>
          <w:b/>
          <w:kern w:val="24"/>
        </w:rPr>
      </w:pPr>
      <w:r w:rsidRPr="00FF37C9">
        <w:rPr>
          <w:rFonts w:ascii="Gill Sans MT" w:hAnsi="Gill Sans MT" w:cs="Gill Sans MT"/>
          <w:b/>
          <w:bCs/>
          <w:iCs/>
          <w:kern w:val="24"/>
        </w:rPr>
        <w:t>Effet hypnotique</w:t>
      </w:r>
      <w:r w:rsidRPr="00FF37C9">
        <w:rPr>
          <w:rFonts w:ascii="Gill Sans MT" w:hAnsi="Gill Sans MT" w:cs="Gill Sans MT"/>
          <w:b/>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En bolus, induit le sommeil dès le premier passage cérébral.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Ainsi, avec une dose de 0,3 mg/kg injectée en 10 à 30 </w:t>
      </w:r>
      <w:r w:rsidR="00DC253C" w:rsidRPr="00FF37C9">
        <w:rPr>
          <w:rFonts w:ascii="Gill Sans MT" w:hAnsi="Gill Sans MT" w:cs="Gill Sans MT"/>
          <w:kern w:val="24"/>
        </w:rPr>
        <w:t>secs</w:t>
      </w:r>
      <w:r w:rsidRPr="00FF37C9">
        <w:rPr>
          <w:rFonts w:ascii="Gill Sans MT" w:hAnsi="Gill Sans MT" w:cs="Gill Sans MT"/>
          <w:kern w:val="24"/>
        </w:rPr>
        <w:t xml:space="preserve">, le sommeil apparaît dans les 30 sec et dure 4 à 6 mn.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Le délai d'induction augmente lorsque l'on diminue la vitesse d'injection.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Ainsi, avec une perfusion de 0,1 mg/kg/min, le sommeil met 136 </w:t>
      </w:r>
      <w:r w:rsidR="00DC253C" w:rsidRPr="00FF37C9">
        <w:rPr>
          <w:rFonts w:ascii="Gill Sans MT" w:hAnsi="Gill Sans MT" w:cs="Gill Sans MT"/>
          <w:kern w:val="24"/>
        </w:rPr>
        <w:t>secs</w:t>
      </w:r>
      <w:r w:rsidRPr="00FF37C9">
        <w:rPr>
          <w:rFonts w:ascii="Gill Sans MT" w:hAnsi="Gill Sans MT" w:cs="Gill Sans MT"/>
          <w:kern w:val="24"/>
        </w:rPr>
        <w:t xml:space="preserve"> à s'installer.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 mesure des taux sanguins maximaux obtenus après 0,3 mg/kg montre que ceux-ci atteignent en moyenne 1,59 g/ml après injection rapide (10 sec) et 1,30 ± 0,38 g/ml après injection lente (30 sec).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La durée du sommeil varie avec la dose injectée : 3 mn pour 0,15 mg/kg, 6 à 8 minutes pour 0,45 mg/</w:t>
      </w:r>
      <w:r w:rsidR="00DC253C" w:rsidRPr="00FF37C9">
        <w:rPr>
          <w:rFonts w:ascii="Gill Sans MT" w:hAnsi="Gill Sans MT" w:cs="Gill Sans MT"/>
          <w:kern w:val="24"/>
        </w:rPr>
        <w:t xml:space="preserve">kg.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Elle est prolongée par l'utilisation d'une prémédication.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proofErr w:type="gramStart"/>
      <w:r w:rsidRPr="00FF37C9">
        <w:rPr>
          <w:rFonts w:ascii="Gill Sans MT" w:hAnsi="Gill Sans MT" w:cs="Gill Sans MT"/>
          <w:kern w:val="24"/>
        </w:rPr>
        <w:t>le</w:t>
      </w:r>
      <w:proofErr w:type="gramEnd"/>
      <w:r w:rsidRPr="00FF37C9">
        <w:rPr>
          <w:rFonts w:ascii="Gill Sans MT" w:hAnsi="Gill Sans MT" w:cs="Gill Sans MT"/>
          <w:kern w:val="24"/>
        </w:rPr>
        <w:t xml:space="preserve"> réveil complet demande 20 à 40 minutes selon la dose </w:t>
      </w:r>
      <w:r w:rsidR="00DC253C" w:rsidRPr="00FF37C9">
        <w:rPr>
          <w:rFonts w:ascii="Gill Sans MT" w:hAnsi="Gill Sans MT" w:cs="Gill Sans MT"/>
          <w:kern w:val="24"/>
        </w:rPr>
        <w:t>injectée.</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0,3 mg/kg d'étomidate = 4 mg/kg de thiopental=2,5 mg/kg de propofol.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L'étomidate n'abolit pas tous les réflexes : </w:t>
      </w:r>
    </w:p>
    <w:p w:rsidR="002F1356" w:rsidRPr="00FF37C9" w:rsidRDefault="002F1356" w:rsidP="00FF37C9">
      <w:pPr>
        <w:pStyle w:val="Paragraphedeliste"/>
        <w:numPr>
          <w:ilvl w:val="0"/>
          <w:numId w:val="41"/>
        </w:numPr>
        <w:autoSpaceDE w:val="0"/>
        <w:autoSpaceDN w:val="0"/>
        <w:adjustRightInd w:val="0"/>
        <w:spacing w:after="0" w:line="240" w:lineRule="auto"/>
        <w:rPr>
          <w:rFonts w:ascii="Gill Sans MT" w:hAnsi="Gill Sans MT" w:cs="Gill Sans MT"/>
          <w:kern w:val="24"/>
        </w:rPr>
      </w:pPr>
      <w:r w:rsidRPr="00FF37C9">
        <w:rPr>
          <w:rFonts w:ascii="Gill Sans MT" w:hAnsi="Gill Sans MT" w:cs="Gill Sans MT"/>
          <w:kern w:val="24"/>
        </w:rPr>
        <w:t xml:space="preserve">le réflexe </w:t>
      </w:r>
      <w:proofErr w:type="spellStart"/>
      <w:r w:rsidRPr="00FF37C9">
        <w:rPr>
          <w:rFonts w:ascii="Gill Sans MT" w:hAnsi="Gill Sans MT" w:cs="Gill Sans MT"/>
          <w:kern w:val="24"/>
        </w:rPr>
        <w:t>oculo</w:t>
      </w:r>
      <w:proofErr w:type="spellEnd"/>
      <w:r w:rsidRPr="00FF37C9">
        <w:rPr>
          <w:rFonts w:ascii="Gill Sans MT" w:hAnsi="Gill Sans MT" w:cs="Gill Sans MT"/>
          <w:kern w:val="24"/>
        </w:rPr>
        <w:t xml:space="preserve">-palpébral ne disparaît qu'en début de narcose, </w:t>
      </w:r>
    </w:p>
    <w:p w:rsidR="002F1356" w:rsidRPr="00FF37C9" w:rsidRDefault="002F1356" w:rsidP="00FF37C9">
      <w:pPr>
        <w:pStyle w:val="Paragraphedeliste"/>
        <w:numPr>
          <w:ilvl w:val="0"/>
          <w:numId w:val="41"/>
        </w:numPr>
        <w:autoSpaceDE w:val="0"/>
        <w:autoSpaceDN w:val="0"/>
        <w:adjustRightInd w:val="0"/>
        <w:spacing w:after="0" w:line="240" w:lineRule="auto"/>
        <w:rPr>
          <w:rFonts w:ascii="Gill Sans MT" w:hAnsi="Gill Sans MT" w:cs="Gill Sans MT"/>
          <w:kern w:val="24"/>
        </w:rPr>
      </w:pPr>
      <w:r w:rsidRPr="00FF37C9">
        <w:rPr>
          <w:rFonts w:ascii="Gill Sans MT" w:hAnsi="Gill Sans MT" w:cs="Gill Sans MT"/>
          <w:kern w:val="24"/>
        </w:rPr>
        <w:t xml:space="preserve">les réflexes </w:t>
      </w:r>
      <w:proofErr w:type="spellStart"/>
      <w:r w:rsidRPr="00FF37C9">
        <w:rPr>
          <w:rFonts w:ascii="Gill Sans MT" w:hAnsi="Gill Sans MT" w:cs="Gill Sans MT"/>
          <w:kern w:val="24"/>
        </w:rPr>
        <w:t>photomoteur</w:t>
      </w:r>
      <w:proofErr w:type="spellEnd"/>
      <w:r w:rsidRPr="00FF37C9">
        <w:rPr>
          <w:rFonts w:ascii="Gill Sans MT" w:hAnsi="Gill Sans MT" w:cs="Gill Sans MT"/>
          <w:kern w:val="24"/>
        </w:rPr>
        <w:t xml:space="preserve"> et cornéen sont conservés, </w:t>
      </w:r>
    </w:p>
    <w:p w:rsidR="002F1356" w:rsidRPr="00FF37C9" w:rsidRDefault="002F1356" w:rsidP="00FF37C9">
      <w:pPr>
        <w:pStyle w:val="Paragraphedeliste"/>
        <w:numPr>
          <w:ilvl w:val="0"/>
          <w:numId w:val="41"/>
        </w:numPr>
        <w:autoSpaceDE w:val="0"/>
        <w:autoSpaceDN w:val="0"/>
        <w:adjustRightInd w:val="0"/>
        <w:spacing w:after="0" w:line="240" w:lineRule="auto"/>
        <w:rPr>
          <w:rFonts w:ascii="Gill Sans MT" w:hAnsi="Gill Sans MT" w:cs="Gill Sans MT"/>
          <w:kern w:val="24"/>
        </w:rPr>
      </w:pPr>
      <w:r w:rsidRPr="00FF37C9">
        <w:rPr>
          <w:rFonts w:ascii="Gill Sans MT" w:hAnsi="Gill Sans MT" w:cs="Gill Sans MT"/>
          <w:kern w:val="24"/>
        </w:rPr>
        <w:t xml:space="preserve">la réflectivité </w:t>
      </w:r>
      <w:proofErr w:type="spellStart"/>
      <w:r w:rsidRPr="00FF37C9">
        <w:rPr>
          <w:rFonts w:ascii="Gill Sans MT" w:hAnsi="Gill Sans MT" w:cs="Gill Sans MT"/>
          <w:kern w:val="24"/>
        </w:rPr>
        <w:t>pharyngo-laryngée</w:t>
      </w:r>
      <w:proofErr w:type="spellEnd"/>
      <w:r w:rsidRPr="00FF37C9">
        <w:rPr>
          <w:rFonts w:ascii="Gill Sans MT" w:hAnsi="Gill Sans MT" w:cs="Gill Sans MT"/>
          <w:kern w:val="24"/>
        </w:rPr>
        <w:t xml:space="preserve"> est maintenue.</w:t>
      </w:r>
    </w:p>
    <w:p w:rsidR="002F1356"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lastRenderedPageBreak/>
        <w:t xml:space="preserve">L'étomidate est dénué d'effet analgésique. </w:t>
      </w:r>
    </w:p>
    <w:p w:rsidR="00FF37C9" w:rsidRPr="00FF37C9" w:rsidRDefault="00FF37C9" w:rsidP="00FF37C9">
      <w:pPr>
        <w:autoSpaceDE w:val="0"/>
        <w:autoSpaceDN w:val="0"/>
        <w:adjustRightInd w:val="0"/>
        <w:spacing w:after="0" w:line="240" w:lineRule="auto"/>
        <w:ind w:left="360"/>
        <w:rPr>
          <w:rFonts w:ascii="Gill Sans MT" w:hAnsi="Gill Sans MT" w:cs="Gill Sans MT"/>
          <w:kern w:val="24"/>
        </w:rPr>
      </w:pPr>
    </w:p>
    <w:p w:rsidR="00DC253C" w:rsidRPr="00DC253C" w:rsidRDefault="00DC253C" w:rsidP="00DC253C">
      <w:pPr>
        <w:autoSpaceDE w:val="0"/>
        <w:autoSpaceDN w:val="0"/>
        <w:adjustRightInd w:val="0"/>
        <w:spacing w:after="0" w:line="240" w:lineRule="auto"/>
        <w:rPr>
          <w:rFonts w:ascii="Gill Sans MT" w:hAnsi="Gill Sans MT" w:cs="Gill Sans MT"/>
          <w:kern w:val="24"/>
        </w:rPr>
      </w:pPr>
    </w:p>
    <w:p w:rsidR="00DC253C" w:rsidRPr="00FF37C9" w:rsidRDefault="00DC253C" w:rsidP="00FF37C9">
      <w:pPr>
        <w:numPr>
          <w:ilvl w:val="1"/>
          <w:numId w:val="6"/>
        </w:numPr>
        <w:autoSpaceDE w:val="0"/>
        <w:autoSpaceDN w:val="0"/>
        <w:adjustRightInd w:val="0"/>
        <w:spacing w:after="0"/>
        <w:rPr>
          <w:rFonts w:ascii="Gill Sans MT" w:hAnsi="Gill Sans MT" w:cs="Gill Sans MT"/>
          <w:b/>
          <w:kern w:val="24"/>
        </w:rPr>
      </w:pPr>
      <w:r w:rsidRPr="00FF37C9">
        <w:rPr>
          <w:rFonts w:ascii="Gill Sans MT" w:hAnsi="Gill Sans MT" w:cs="Gill Sans MT"/>
          <w:b/>
          <w:bCs/>
          <w:i/>
          <w:iCs/>
          <w:kern w:val="24"/>
        </w:rPr>
        <w:t>l'hémodynamique &amp; métabolisme cérébral</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En perfusion réduction du débit sanguin cérébral (DSC) de 34 %, expliquée par une diminution de la consommation d'oxygène cérébrale (CMRO2) de 45 % </w:t>
      </w:r>
      <w:r w:rsidRPr="002F1356">
        <w:sym w:font="Symbol" w:char="F0DE"/>
      </w:r>
      <w:r w:rsidRPr="00FF37C9">
        <w:rPr>
          <w:rFonts w:ascii="Gill Sans MT" w:hAnsi="Gill Sans MT" w:cs="Gill Sans MT"/>
          <w:kern w:val="24"/>
        </w:rPr>
        <w:t xml:space="preserve">réduction de la PIC.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 réduction du DSC et de la CMRO2 est supérieure si l'on associe l'étomidate au N2O et au fentanyl. </w:t>
      </w:r>
    </w:p>
    <w:p w:rsidR="00DC253C"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 réactivité de la circulation cérébrale au CO2 est maintenue. </w:t>
      </w:r>
    </w:p>
    <w:p w:rsidR="00DC253C" w:rsidRPr="00DC253C" w:rsidRDefault="00DC253C" w:rsidP="00DC253C">
      <w:pPr>
        <w:autoSpaceDE w:val="0"/>
        <w:autoSpaceDN w:val="0"/>
        <w:adjustRightInd w:val="0"/>
        <w:spacing w:after="0" w:line="240" w:lineRule="auto"/>
        <w:ind w:left="360"/>
        <w:rPr>
          <w:rFonts w:ascii="Gill Sans MT" w:hAnsi="Gill Sans MT" w:cs="Gill Sans MT"/>
          <w:kern w:val="24"/>
        </w:rPr>
      </w:pPr>
    </w:p>
    <w:p w:rsidR="00DC253C" w:rsidRPr="00FF37C9" w:rsidRDefault="00DC253C" w:rsidP="00DC253C">
      <w:pPr>
        <w:pStyle w:val="Paragraphedeliste"/>
        <w:numPr>
          <w:ilvl w:val="0"/>
          <w:numId w:val="19"/>
        </w:numPr>
        <w:autoSpaceDE w:val="0"/>
        <w:autoSpaceDN w:val="0"/>
        <w:adjustRightInd w:val="0"/>
        <w:spacing w:after="0" w:line="240" w:lineRule="auto"/>
        <w:rPr>
          <w:rFonts w:ascii="Gill Sans MT" w:hAnsi="Gill Sans MT" w:cs="Gill Sans MT"/>
          <w:b/>
          <w:kern w:val="24"/>
        </w:rPr>
      </w:pPr>
      <w:r w:rsidRPr="00FF37C9">
        <w:rPr>
          <w:rFonts w:ascii="Gill Sans MT" w:hAnsi="Gill Sans MT" w:cs="Gill Sans MT"/>
          <w:b/>
          <w:bCs/>
          <w:kern w:val="24"/>
        </w:rPr>
        <w:t>Effets cardiovasculaires</w:t>
      </w:r>
      <w:r w:rsidRPr="00FF37C9">
        <w:rPr>
          <w:rFonts w:ascii="Gill Sans MT" w:hAnsi="Gill Sans MT" w:cs="Gill Sans MT"/>
          <w:b/>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Variations hémodynamiques modiques.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Après une injection de 0,3 mg/kg les paramètres CVX (Pa, VES, </w:t>
      </w:r>
      <w:proofErr w:type="spellStart"/>
      <w:r w:rsidRPr="00FF37C9">
        <w:rPr>
          <w:rFonts w:ascii="Gill Sans MT" w:hAnsi="Gill Sans MT" w:cs="Gill Sans MT"/>
          <w:kern w:val="24"/>
        </w:rPr>
        <w:t>IndC</w:t>
      </w:r>
      <w:proofErr w:type="spellEnd"/>
      <w:r w:rsidRPr="00FF37C9">
        <w:rPr>
          <w:rFonts w:ascii="Gill Sans MT" w:hAnsi="Gill Sans MT" w:cs="Gill Sans MT"/>
          <w:kern w:val="24"/>
        </w:rPr>
        <w:t xml:space="preserve">, </w:t>
      </w:r>
      <w:r w:rsidR="00EA00F4" w:rsidRPr="00FF37C9">
        <w:rPr>
          <w:rFonts w:ascii="Gill Sans MT" w:hAnsi="Gill Sans MT" w:cs="Gill Sans MT"/>
          <w:kern w:val="24"/>
        </w:rPr>
        <w:t>RVS) demeurent</w:t>
      </w:r>
      <w:r w:rsidRPr="00FF37C9">
        <w:rPr>
          <w:rFonts w:ascii="Gill Sans MT" w:hAnsi="Gill Sans MT" w:cs="Gill Sans MT"/>
          <w:kern w:val="24"/>
        </w:rPr>
        <w:t xml:space="preserve"> stables.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Par ailleurs, l'absence de modification du tonus vasculaire a été confirmée chez des sujets porteurs d'un cœur artificiel permettant de conserver un débit cardiaque constant malgré une diminution du retour </w:t>
      </w:r>
      <w:r w:rsidR="00EA00F4" w:rsidRPr="00FF37C9">
        <w:rPr>
          <w:rFonts w:ascii="Gill Sans MT" w:hAnsi="Gill Sans MT" w:cs="Gill Sans MT"/>
          <w:kern w:val="24"/>
        </w:rPr>
        <w:t>veineux.</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En fait, l'étomidate est rarement utilisé seul. Il ne prévient pas la réponse sympathique déclenchée par l'intubation trachéale ; l'adjonction de fentanyl limite cette réaction et peut même l'annuler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Effets pharmacodynamiques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L'étomidate entraîne une vasodilatation coronaire avec élévation du débit sanguin coronaire de 19 %, sans modification significative de la consommation d‘O2 du myocarde ni de la consommation de lactates et de glucose par le myocarde.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Il est ainsi proposé en association avec le fentanyl pour l'induction anesthésique du coronarien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Chez les sujets atteints de cardiopathie valvulaire, les mesures effectuées après étomidate ou étomidate-fentanyl révèlent une chute de la Pa de 20 % avec réduction de l'IC de 10 % et des RVS de 14 %. La diminution du travail du ventricule gauche permet de tolérer ces modifications.</w:t>
      </w:r>
    </w:p>
    <w:p w:rsidR="00DC253C" w:rsidRPr="002F1356" w:rsidRDefault="00DC253C" w:rsidP="00DC253C">
      <w:pPr>
        <w:autoSpaceDE w:val="0"/>
        <w:autoSpaceDN w:val="0"/>
        <w:adjustRightInd w:val="0"/>
        <w:spacing w:after="0" w:line="240" w:lineRule="auto"/>
        <w:rPr>
          <w:rFonts w:ascii="Gill Sans MT" w:hAnsi="Gill Sans MT" w:cs="Gill Sans MT"/>
          <w:kern w:val="24"/>
        </w:rPr>
      </w:pPr>
    </w:p>
    <w:p w:rsidR="00DC253C" w:rsidRPr="00FF37C9" w:rsidRDefault="00DC253C" w:rsidP="00FF37C9">
      <w:pPr>
        <w:numPr>
          <w:ilvl w:val="0"/>
          <w:numId w:val="21"/>
        </w:numPr>
        <w:autoSpaceDE w:val="0"/>
        <w:autoSpaceDN w:val="0"/>
        <w:adjustRightInd w:val="0"/>
        <w:spacing w:after="0"/>
        <w:rPr>
          <w:rFonts w:ascii="Gill Sans MT" w:hAnsi="Gill Sans MT" w:cs="Gill Sans MT"/>
          <w:b/>
          <w:kern w:val="24"/>
        </w:rPr>
      </w:pPr>
      <w:r w:rsidRPr="00FF37C9">
        <w:rPr>
          <w:rFonts w:ascii="Gill Sans MT" w:hAnsi="Gill Sans MT" w:cs="Gill Sans MT"/>
          <w:b/>
          <w:bCs/>
          <w:kern w:val="24"/>
        </w:rPr>
        <w:t>Effets respiratoires</w:t>
      </w:r>
      <w:r w:rsidRPr="00FF37C9">
        <w:rPr>
          <w:rFonts w:ascii="Gill Sans MT" w:hAnsi="Gill Sans MT" w:cs="Gill Sans MT"/>
          <w:b/>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L'étomidate n'induit qu'une faible dépression respiratoire qui est dose-dépendante.</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En l'absence de prémédication, un bolus de 0,3 mg/kg entraîne une accélération de la fréquence respiratoire (FR) qui compense la diminution du volume courant (</w:t>
      </w:r>
      <w:proofErr w:type="spellStart"/>
      <w:r w:rsidRPr="00FF37C9">
        <w:rPr>
          <w:rFonts w:ascii="Gill Sans MT" w:hAnsi="Gill Sans MT" w:cs="Gill Sans MT"/>
          <w:kern w:val="24"/>
        </w:rPr>
        <w:t>Vt</w:t>
      </w:r>
      <w:proofErr w:type="spellEnd"/>
      <w:r w:rsidRPr="00FF37C9">
        <w:rPr>
          <w:rFonts w:ascii="Gill Sans MT" w:hAnsi="Gill Sans MT" w:cs="Gill Sans MT"/>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L'absence de modification du débit inspiratoire moyen fait penser que la réduction du </w:t>
      </w:r>
      <w:proofErr w:type="spellStart"/>
      <w:r w:rsidRPr="00FF37C9">
        <w:rPr>
          <w:rFonts w:ascii="Gill Sans MT" w:hAnsi="Gill Sans MT" w:cs="Gill Sans MT"/>
          <w:kern w:val="24"/>
        </w:rPr>
        <w:t>Vt</w:t>
      </w:r>
      <w:proofErr w:type="spellEnd"/>
      <w:r w:rsidRPr="00FF37C9">
        <w:rPr>
          <w:rFonts w:ascii="Gill Sans MT" w:hAnsi="Gill Sans MT" w:cs="Gill Sans MT"/>
          <w:kern w:val="24"/>
        </w:rPr>
        <w:t xml:space="preserve"> n'est pas d'origine centrale.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Avec une dose de 0,45 mg/kg, la FR ne s'accélère pas et la réduction du </w:t>
      </w:r>
      <w:proofErr w:type="spellStart"/>
      <w:r w:rsidRPr="00FF37C9">
        <w:rPr>
          <w:rFonts w:ascii="Gill Sans MT" w:hAnsi="Gill Sans MT" w:cs="Gill Sans MT"/>
          <w:kern w:val="24"/>
        </w:rPr>
        <w:t>Vt</w:t>
      </w:r>
      <w:proofErr w:type="spellEnd"/>
      <w:r w:rsidRPr="00FF37C9">
        <w:rPr>
          <w:rFonts w:ascii="Gill Sans MT" w:hAnsi="Gill Sans MT" w:cs="Gill Sans MT"/>
          <w:kern w:val="24"/>
        </w:rPr>
        <w:t xml:space="preserve"> entraîne une hypoventilation avec hypercapnie modérée.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Chez les malades prémédiqués avec de la morphine ou une benzodiazépine, une apnée de brève durée (inférieure à une minute) suit le plus souvent l'induction. </w:t>
      </w:r>
    </w:p>
    <w:p w:rsidR="00EA00F4"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L'étomidate n'a pas d'action sur la musculature bronchique. </w:t>
      </w:r>
    </w:p>
    <w:p w:rsidR="009E165B" w:rsidRPr="009E165B" w:rsidRDefault="009E165B" w:rsidP="009E165B">
      <w:pPr>
        <w:autoSpaceDE w:val="0"/>
        <w:autoSpaceDN w:val="0"/>
        <w:adjustRightInd w:val="0"/>
        <w:spacing w:after="0" w:line="240" w:lineRule="auto"/>
        <w:jc w:val="both"/>
        <w:rPr>
          <w:rFonts w:ascii="Gill Sans MT" w:hAnsi="Gill Sans MT" w:cs="Gill Sans MT"/>
          <w:kern w:val="24"/>
        </w:rPr>
      </w:pPr>
    </w:p>
    <w:p w:rsidR="002F1356" w:rsidRPr="00FF37C9" w:rsidRDefault="002F1356" w:rsidP="009E165B">
      <w:pPr>
        <w:pStyle w:val="Paragraphedeliste"/>
        <w:numPr>
          <w:ilvl w:val="0"/>
          <w:numId w:val="21"/>
        </w:numPr>
        <w:autoSpaceDE w:val="0"/>
        <w:autoSpaceDN w:val="0"/>
        <w:adjustRightInd w:val="0"/>
        <w:spacing w:after="0" w:line="240" w:lineRule="auto"/>
        <w:rPr>
          <w:rFonts w:ascii="Gill Sans MT" w:hAnsi="Gill Sans MT" w:cs="Gill Sans MT"/>
          <w:b/>
          <w:kern w:val="24"/>
        </w:rPr>
      </w:pPr>
      <w:r w:rsidRPr="00FF37C9">
        <w:rPr>
          <w:rFonts w:ascii="Gill Sans MT" w:hAnsi="Gill Sans MT" w:cs="Gill Sans MT"/>
          <w:b/>
          <w:bCs/>
          <w:i/>
          <w:iCs/>
          <w:kern w:val="24"/>
        </w:rPr>
        <w:t>Effets endocriniens</w:t>
      </w:r>
      <w:r w:rsidRPr="00FF37C9">
        <w:rPr>
          <w:rFonts w:ascii="Gill Sans MT" w:hAnsi="Gill Sans MT" w:cs="Gill Sans MT"/>
          <w:b/>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Après un bolus de 0,2 à 0,4 mg/kg</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Le taux de cortisol chute, alors que celui de son précurseur, le 11-désoxycortisol, s'élève à des chiffres 10 fois plus importants qu'avec le thiopental.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Le taux d'ACTH augmente de 100 %. La concentration de progestérone reste constante mais la 17-alpha-hydroxyprogestérone </w:t>
      </w:r>
      <w:r w:rsidR="00EA00F4" w:rsidRPr="00FF37C9">
        <w:rPr>
          <w:rFonts w:ascii="Gill Sans MT" w:hAnsi="Gill Sans MT" w:cs="Gill Sans MT"/>
          <w:kern w:val="24"/>
        </w:rPr>
        <w:t xml:space="preserve">s’élève.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Cette inhibition est dose-dépendante ; elle existe déjà pour de très faibles doses (0,04 mg/kg) qui n'entraînent pas de perte de </w:t>
      </w:r>
      <w:r w:rsidR="00EA00F4" w:rsidRPr="00FF37C9">
        <w:rPr>
          <w:rFonts w:ascii="Gill Sans MT" w:hAnsi="Gill Sans MT" w:cs="Gill Sans MT"/>
          <w:kern w:val="24"/>
        </w:rPr>
        <w:t xml:space="preserve">conscience.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Elle disparaît en quelques heures après une injection unique ; après une perfusion de 90 à 120 minutes, les différentes concentrations plasmatiques sont normalisées dans les 24 heures.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Des résultats comparables ont été obtenus avec l'utilisation d'étomidate en perfusion (0,03 mg/kg/min pendant 2 à 3 h) chez </w:t>
      </w:r>
      <w:r w:rsidR="009E165B" w:rsidRPr="00FF37C9">
        <w:rPr>
          <w:rFonts w:ascii="Gill Sans MT" w:hAnsi="Gill Sans MT" w:cs="Gill Sans MT"/>
          <w:kern w:val="24"/>
        </w:rPr>
        <w:t xml:space="preserve">l’enfant.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Aucune répercussion clinique n'est notée.</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lastRenderedPageBreak/>
        <w:t xml:space="preserve">Ces perturbations sont générées par un blocage de la synthèse des hormones </w:t>
      </w:r>
      <w:proofErr w:type="spellStart"/>
      <w:r w:rsidRPr="00FF37C9">
        <w:rPr>
          <w:rFonts w:ascii="Gill Sans MT" w:hAnsi="Gill Sans MT" w:cs="Gill Sans MT"/>
          <w:kern w:val="24"/>
        </w:rPr>
        <w:t>corticosurrénaliennes</w:t>
      </w:r>
      <w:proofErr w:type="spellEnd"/>
      <w:r w:rsidRPr="00FF37C9">
        <w:rPr>
          <w:rFonts w:ascii="Gill Sans MT" w:hAnsi="Gill Sans MT" w:cs="Gill Sans MT"/>
          <w:kern w:val="24"/>
        </w:rPr>
        <w:t xml:space="preserve">. </w:t>
      </w:r>
    </w:p>
    <w:p w:rsidR="002F1356" w:rsidRDefault="002F1356" w:rsidP="002E2CEC">
      <w:pPr>
        <w:autoSpaceDE w:val="0"/>
        <w:autoSpaceDN w:val="0"/>
        <w:adjustRightInd w:val="0"/>
        <w:spacing w:after="0" w:line="240" w:lineRule="auto"/>
        <w:rPr>
          <w:rFonts w:ascii="Gill Sans MT" w:hAnsi="Gill Sans MT" w:cs="Gill Sans MT"/>
          <w:kern w:val="24"/>
        </w:rPr>
      </w:pPr>
    </w:p>
    <w:p w:rsidR="00FF37C9" w:rsidRDefault="00FF37C9" w:rsidP="002E2CEC">
      <w:pPr>
        <w:autoSpaceDE w:val="0"/>
        <w:autoSpaceDN w:val="0"/>
        <w:adjustRightInd w:val="0"/>
        <w:spacing w:after="0" w:line="240" w:lineRule="auto"/>
        <w:rPr>
          <w:rFonts w:ascii="Gill Sans MT" w:hAnsi="Gill Sans MT" w:cs="Gill Sans MT"/>
          <w:kern w:val="24"/>
        </w:rPr>
      </w:pPr>
    </w:p>
    <w:p w:rsidR="00FF37C9" w:rsidRPr="002F1356" w:rsidRDefault="00FF37C9" w:rsidP="002E2CEC">
      <w:pPr>
        <w:autoSpaceDE w:val="0"/>
        <w:autoSpaceDN w:val="0"/>
        <w:adjustRightInd w:val="0"/>
        <w:spacing w:after="0" w:line="240" w:lineRule="auto"/>
        <w:rPr>
          <w:rFonts w:ascii="Gill Sans MT" w:hAnsi="Gill Sans MT" w:cs="Gill Sans MT"/>
          <w:kern w:val="24"/>
        </w:rPr>
      </w:pPr>
    </w:p>
    <w:p w:rsidR="009E165B" w:rsidRPr="00FF37C9" w:rsidRDefault="009E165B" w:rsidP="009E165B">
      <w:pPr>
        <w:numPr>
          <w:ilvl w:val="0"/>
          <w:numId w:val="24"/>
        </w:numPr>
        <w:autoSpaceDE w:val="0"/>
        <w:autoSpaceDN w:val="0"/>
        <w:adjustRightInd w:val="0"/>
        <w:spacing w:after="0"/>
        <w:rPr>
          <w:rFonts w:ascii="Gill Sans MT" w:hAnsi="Gill Sans MT" w:cs="Gill Sans MT"/>
          <w:b/>
          <w:kern w:val="24"/>
        </w:rPr>
      </w:pPr>
      <w:r w:rsidRPr="00FF37C9">
        <w:rPr>
          <w:rFonts w:ascii="Gill Sans MT" w:hAnsi="Gill Sans MT" w:cs="Gill Sans MT"/>
          <w:b/>
          <w:bCs/>
          <w:kern w:val="24"/>
        </w:rPr>
        <w:t>Actions sur les autres appareils</w:t>
      </w:r>
      <w:r w:rsidRPr="00FF37C9">
        <w:rPr>
          <w:rFonts w:ascii="Gill Sans MT" w:hAnsi="Gill Sans MT" w:cs="Gill Sans MT"/>
          <w:b/>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Diminue la pression </w:t>
      </w:r>
      <w:r w:rsidR="009E165B" w:rsidRPr="00FF37C9">
        <w:rPr>
          <w:rFonts w:ascii="Gill Sans MT" w:hAnsi="Gill Sans MT" w:cs="Gill Sans MT"/>
          <w:kern w:val="24"/>
        </w:rPr>
        <w:t>intraoculaire (</w:t>
      </w:r>
      <w:r w:rsidRPr="00FF37C9">
        <w:rPr>
          <w:rFonts w:ascii="Gill Sans MT" w:hAnsi="Gill Sans MT" w:cs="Gill Sans MT"/>
          <w:kern w:val="24"/>
        </w:rPr>
        <w:t xml:space="preserve">Effet est supérieur à celui de thiopental).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En association avec du fentanyl et du </w:t>
      </w:r>
      <w:proofErr w:type="spellStart"/>
      <w:r w:rsidRPr="00FF37C9">
        <w:rPr>
          <w:rFonts w:ascii="Gill Sans MT" w:hAnsi="Gill Sans MT" w:cs="Gill Sans MT"/>
          <w:kern w:val="24"/>
        </w:rPr>
        <w:t>dropéridol</w:t>
      </w:r>
      <w:proofErr w:type="spellEnd"/>
      <w:r w:rsidRPr="00FF37C9">
        <w:rPr>
          <w:rFonts w:ascii="Gill Sans MT" w:hAnsi="Gill Sans MT" w:cs="Gill Sans MT"/>
          <w:kern w:val="24"/>
        </w:rPr>
        <w:t>, la baisse de la pression intraoculaire peut atteindre 61 % </w:t>
      </w:r>
    </w:p>
    <w:p w:rsidR="002F1356" w:rsidRPr="00FF37C9" w:rsidRDefault="002F1356" w:rsidP="00FF37C9">
      <w:pPr>
        <w:autoSpaceDE w:val="0"/>
        <w:autoSpaceDN w:val="0"/>
        <w:adjustRightInd w:val="0"/>
        <w:spacing w:after="0" w:line="240" w:lineRule="auto"/>
        <w:ind w:left="360"/>
        <w:rPr>
          <w:rFonts w:ascii="Gill Sans MT" w:hAnsi="Gill Sans MT" w:cs="Gill Sans MT"/>
          <w:b/>
          <w:bCs/>
          <w:kern w:val="24"/>
          <w:vertAlign w:val="superscript"/>
        </w:rPr>
      </w:pPr>
      <w:r w:rsidRPr="00FF37C9">
        <w:rPr>
          <w:rFonts w:ascii="Gill Sans MT" w:hAnsi="Gill Sans MT" w:cs="Gill Sans MT"/>
          <w:kern w:val="24"/>
        </w:rPr>
        <w:t>Chez l'homme sain, le dosage des enzymes hépatiques (SGOT, SGPT, phosphatases alcalines, gamma-GT) ne montre pas en moyenne de variation significative après administration d'étomidate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Aucune influence n'a été démontrée sur la pression </w:t>
      </w:r>
      <w:proofErr w:type="spellStart"/>
      <w:r w:rsidRPr="00FF37C9">
        <w:rPr>
          <w:rFonts w:ascii="Gill Sans MT" w:hAnsi="Gill Sans MT" w:cs="Gill Sans MT"/>
          <w:kern w:val="24"/>
        </w:rPr>
        <w:t>intragastrique</w:t>
      </w:r>
      <w:proofErr w:type="spellEnd"/>
      <w:r w:rsidRPr="00FF37C9">
        <w:rPr>
          <w:rFonts w:ascii="Gill Sans MT" w:hAnsi="Gill Sans MT" w:cs="Gill Sans MT"/>
          <w:kern w:val="24"/>
        </w:rPr>
        <w:t xml:space="preserve"> et la sécrétion gastrique, le débit sanguin rénal, les contractions utérines et le débit sanguin utérin</w:t>
      </w:r>
    </w:p>
    <w:p w:rsidR="002F1356" w:rsidRPr="002F1356" w:rsidRDefault="002F1356" w:rsidP="002F1356">
      <w:pPr>
        <w:autoSpaceDE w:val="0"/>
        <w:autoSpaceDN w:val="0"/>
        <w:adjustRightInd w:val="0"/>
        <w:spacing w:after="0" w:line="240" w:lineRule="auto"/>
        <w:ind w:left="576" w:hanging="446"/>
        <w:rPr>
          <w:rFonts w:ascii="Gill Sans MT" w:hAnsi="Gill Sans MT" w:cs="Gill Sans MT"/>
          <w:kern w:val="24"/>
        </w:rPr>
      </w:pPr>
    </w:p>
    <w:p w:rsidR="0050311E" w:rsidRDefault="009E165B" w:rsidP="0050311E">
      <w:pPr>
        <w:numPr>
          <w:ilvl w:val="0"/>
          <w:numId w:val="27"/>
        </w:numPr>
        <w:autoSpaceDE w:val="0"/>
        <w:autoSpaceDN w:val="0"/>
        <w:adjustRightInd w:val="0"/>
        <w:rPr>
          <w:rFonts w:ascii="Gill Sans MT" w:hAnsi="Gill Sans MT" w:cs="Gill Sans MT"/>
          <w:kern w:val="24"/>
        </w:rPr>
      </w:pPr>
      <w:r w:rsidRPr="009E165B">
        <w:rPr>
          <w:rFonts w:ascii="Gill Sans MT" w:hAnsi="Gill Sans MT" w:cs="Gill Sans MT"/>
          <w:b/>
          <w:bCs/>
          <w:kern w:val="24"/>
        </w:rPr>
        <w:t>Effets indésirables</w:t>
      </w:r>
      <w:r w:rsidRPr="009E165B">
        <w:rPr>
          <w:rFonts w:ascii="Gill Sans MT" w:hAnsi="Gill Sans MT" w:cs="Gill Sans MT"/>
          <w:kern w:val="24"/>
        </w:rPr>
        <w:t xml:space="preserve"> </w:t>
      </w:r>
    </w:p>
    <w:p w:rsidR="0050311E" w:rsidRPr="00FF37C9" w:rsidRDefault="009E165B" w:rsidP="00FF37C9">
      <w:pPr>
        <w:numPr>
          <w:ilvl w:val="1"/>
          <w:numId w:val="27"/>
        </w:numPr>
        <w:autoSpaceDE w:val="0"/>
        <w:autoSpaceDN w:val="0"/>
        <w:adjustRightInd w:val="0"/>
        <w:spacing w:after="0"/>
        <w:rPr>
          <w:rFonts w:ascii="Gill Sans MT" w:hAnsi="Gill Sans MT" w:cs="Gill Sans MT"/>
          <w:b/>
          <w:kern w:val="24"/>
        </w:rPr>
      </w:pPr>
      <w:r w:rsidRPr="00FF37C9">
        <w:rPr>
          <w:rFonts w:ascii="Gill Sans MT" w:hAnsi="Gill Sans MT" w:cs="Gill Sans MT"/>
          <w:b/>
          <w:bCs/>
          <w:i/>
          <w:iCs/>
          <w:kern w:val="24"/>
        </w:rPr>
        <w:t xml:space="preserve">Manifestations </w:t>
      </w:r>
      <w:r w:rsidR="0050311E" w:rsidRPr="00FF37C9">
        <w:rPr>
          <w:rFonts w:ascii="Gill Sans MT" w:hAnsi="Gill Sans MT" w:cs="Gill Sans MT"/>
          <w:b/>
          <w:bCs/>
          <w:i/>
          <w:iCs/>
          <w:kern w:val="24"/>
        </w:rPr>
        <w:t>excitatrices</w:t>
      </w:r>
    </w:p>
    <w:p w:rsidR="002F1356" w:rsidRPr="00FF37C9" w:rsidRDefault="002F1356" w:rsidP="00FF37C9">
      <w:pPr>
        <w:autoSpaceDE w:val="0"/>
        <w:autoSpaceDN w:val="0"/>
        <w:adjustRightInd w:val="0"/>
        <w:spacing w:after="0"/>
        <w:ind w:left="360"/>
        <w:rPr>
          <w:rFonts w:ascii="Gill Sans MT" w:hAnsi="Gill Sans MT" w:cs="Gill Sans MT"/>
          <w:kern w:val="24"/>
        </w:rPr>
      </w:pPr>
      <w:r w:rsidRPr="00FF37C9">
        <w:rPr>
          <w:rFonts w:ascii="Gill Sans MT" w:hAnsi="Gill Sans MT" w:cs="Gill Sans MT"/>
          <w:kern w:val="24"/>
        </w:rPr>
        <w:t xml:space="preserve">La survenue de mouvements anormaux, </w:t>
      </w:r>
      <w:proofErr w:type="spellStart"/>
      <w:r w:rsidRPr="00FF37C9">
        <w:rPr>
          <w:rFonts w:ascii="Gill Sans MT" w:hAnsi="Gill Sans MT" w:cs="Gill Sans MT"/>
          <w:kern w:val="24"/>
        </w:rPr>
        <w:t>myoclonies</w:t>
      </w:r>
      <w:proofErr w:type="spellEnd"/>
      <w:r w:rsidRPr="00FF37C9">
        <w:rPr>
          <w:rFonts w:ascii="Gill Sans MT" w:hAnsi="Gill Sans MT" w:cs="Gill Sans MT"/>
          <w:kern w:val="24"/>
        </w:rPr>
        <w:t xml:space="preserve"> en particulier, est très fréquente après l'injection d'étomidate : 20 à 90 % selon les études.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Avec une prémédication à base de morphine ou une de benzodiazépine leurs fréquences est moins importantes.</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Des cas de survenue de </w:t>
      </w:r>
      <w:proofErr w:type="spellStart"/>
      <w:r w:rsidRPr="00FF37C9">
        <w:rPr>
          <w:rFonts w:ascii="Gill Sans MT" w:hAnsi="Gill Sans MT" w:cs="Gill Sans MT"/>
          <w:kern w:val="24"/>
        </w:rPr>
        <w:t>myoclonies</w:t>
      </w:r>
      <w:proofErr w:type="spellEnd"/>
      <w:r w:rsidRPr="00FF37C9">
        <w:rPr>
          <w:rFonts w:ascii="Gill Sans MT" w:hAnsi="Gill Sans MT" w:cs="Gill Sans MT"/>
          <w:kern w:val="24"/>
        </w:rPr>
        <w:t xml:space="preserve"> ou surtout de rigidité musculaire ont été décrits lors du réveil.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En effet, l'activité du système sous-cortical peut alors reprendre avant que le cortex ne soit capable de jouer son rôle inhibiteur. La fréquence de la toux et du hoquet est faible mais paraît en relation avec la survenue de </w:t>
      </w:r>
      <w:proofErr w:type="spellStart"/>
      <w:r w:rsidRPr="00FF37C9">
        <w:rPr>
          <w:rFonts w:ascii="Gill Sans MT" w:hAnsi="Gill Sans MT" w:cs="Gill Sans MT"/>
          <w:kern w:val="24"/>
        </w:rPr>
        <w:t>myoclonies</w:t>
      </w:r>
      <w:proofErr w:type="spellEnd"/>
      <w:r w:rsidRPr="00FF37C9">
        <w:rPr>
          <w:rFonts w:ascii="Gill Sans MT" w:hAnsi="Gill Sans MT" w:cs="Gill Sans MT"/>
          <w:kern w:val="24"/>
        </w:rPr>
        <w:t>.</w:t>
      </w:r>
    </w:p>
    <w:p w:rsidR="0050311E"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Nausées et vomissements surviennent fréquemment au réveil (25 à 30 %), davantage qu'avec les autres hypnotiques IV. L'association au fentanyl en augmente la fréquence ; l'utilisation d'atropine en prémédication la diminue.</w:t>
      </w:r>
    </w:p>
    <w:p w:rsidR="0050311E" w:rsidRDefault="0050311E" w:rsidP="0050311E">
      <w:pPr>
        <w:autoSpaceDE w:val="0"/>
        <w:autoSpaceDN w:val="0"/>
        <w:adjustRightInd w:val="0"/>
        <w:spacing w:after="0" w:line="240" w:lineRule="auto"/>
        <w:ind w:left="349"/>
        <w:rPr>
          <w:rFonts w:ascii="Gill Sans MT" w:hAnsi="Gill Sans MT" w:cs="Gill Sans MT"/>
          <w:kern w:val="24"/>
        </w:rPr>
      </w:pPr>
    </w:p>
    <w:p w:rsidR="0050311E" w:rsidRPr="00FF37C9" w:rsidRDefault="002F1356" w:rsidP="0050311E">
      <w:pPr>
        <w:pStyle w:val="Paragraphedeliste"/>
        <w:numPr>
          <w:ilvl w:val="0"/>
          <w:numId w:val="35"/>
        </w:numPr>
        <w:autoSpaceDE w:val="0"/>
        <w:autoSpaceDN w:val="0"/>
        <w:adjustRightInd w:val="0"/>
        <w:spacing w:after="0" w:line="240" w:lineRule="auto"/>
        <w:rPr>
          <w:rFonts w:ascii="Gill Sans MT" w:hAnsi="Gill Sans MT" w:cs="Gill Sans MT"/>
          <w:b/>
          <w:kern w:val="24"/>
        </w:rPr>
      </w:pPr>
      <w:r w:rsidRPr="00FF37C9">
        <w:rPr>
          <w:rFonts w:ascii="Gill Sans MT" w:hAnsi="Gill Sans MT" w:cs="Gill Sans MT"/>
          <w:b/>
          <w:bCs/>
          <w:i/>
          <w:iCs/>
          <w:kern w:val="24"/>
        </w:rPr>
        <w:t>Effets locaux</w:t>
      </w:r>
      <w:r w:rsidRPr="00FF37C9">
        <w:rPr>
          <w:rFonts w:ascii="Gill Sans MT" w:hAnsi="Gill Sans MT" w:cs="Gill Sans MT"/>
          <w:b/>
          <w:kern w:val="24"/>
        </w:rPr>
        <w:t xml:space="preserve"> </w:t>
      </w:r>
    </w:p>
    <w:p w:rsidR="0050311E"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 fréquence des douleurs déclenchées par l'injection d'étomidate est importante (jusqu'à 60 %). </w:t>
      </w:r>
    </w:p>
    <w:p w:rsidR="0050311E"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Comme pour les autres produits, le calibre de la veine joue un rôle important : 44 % de douleur après injection dans une veine du dos de la main, 8 % dans une veine de l'avant-bras. </w:t>
      </w:r>
    </w:p>
    <w:p w:rsidR="0050311E"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Cette douleur peut être à l'origine du déclenchement de </w:t>
      </w:r>
      <w:proofErr w:type="spellStart"/>
      <w:r w:rsidRPr="00FF37C9">
        <w:rPr>
          <w:rFonts w:ascii="Gill Sans MT" w:hAnsi="Gill Sans MT" w:cs="Gill Sans MT"/>
          <w:kern w:val="24"/>
        </w:rPr>
        <w:t>myoclonies</w:t>
      </w:r>
      <w:proofErr w:type="spellEnd"/>
      <w:r w:rsidRPr="00FF37C9">
        <w:rPr>
          <w:rFonts w:ascii="Gill Sans MT" w:hAnsi="Gill Sans MT" w:cs="Gill Sans MT"/>
          <w:kern w:val="24"/>
        </w:rPr>
        <w:t xml:space="preserve">. </w:t>
      </w:r>
    </w:p>
    <w:p w:rsidR="0050311E"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Une prémédication à base de morphinique en diminue la fréquence ; l'efficacité de l'injection préalable de fentanyl dépend ici aussi de la dose </w:t>
      </w:r>
      <w:r w:rsidR="0050311E" w:rsidRPr="00FF37C9">
        <w:rPr>
          <w:rFonts w:ascii="Gill Sans MT" w:hAnsi="Gill Sans MT" w:cs="Gill Sans MT"/>
          <w:kern w:val="24"/>
        </w:rPr>
        <w:t xml:space="preserve">employée.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 survenue d'une thrombophlébite dans les suites opératoires est rare (5 %) et ne semble en rapport ni avec le déclenchement d'une douleur lors de l'injection, ni avec la nature du solvant. </w:t>
      </w:r>
    </w:p>
    <w:p w:rsidR="0050311E" w:rsidRPr="002F1356" w:rsidRDefault="0050311E" w:rsidP="0050311E">
      <w:pPr>
        <w:autoSpaceDE w:val="0"/>
        <w:autoSpaceDN w:val="0"/>
        <w:adjustRightInd w:val="0"/>
        <w:spacing w:after="0" w:line="240" w:lineRule="auto"/>
        <w:rPr>
          <w:rFonts w:ascii="Gill Sans MT" w:hAnsi="Gill Sans MT" w:cs="Gill Sans MT"/>
          <w:kern w:val="24"/>
        </w:rPr>
      </w:pPr>
    </w:p>
    <w:p w:rsidR="0050311E" w:rsidRPr="00FF37C9" w:rsidRDefault="002F1356" w:rsidP="0050311E">
      <w:pPr>
        <w:numPr>
          <w:ilvl w:val="1"/>
          <w:numId w:val="6"/>
        </w:numPr>
        <w:autoSpaceDE w:val="0"/>
        <w:autoSpaceDN w:val="0"/>
        <w:adjustRightInd w:val="0"/>
        <w:spacing w:after="0" w:line="240" w:lineRule="auto"/>
        <w:rPr>
          <w:rFonts w:ascii="Gill Sans MT" w:hAnsi="Gill Sans MT" w:cs="Gill Sans MT"/>
          <w:b/>
          <w:kern w:val="24"/>
        </w:rPr>
      </w:pPr>
      <w:r w:rsidRPr="00FF37C9">
        <w:rPr>
          <w:rFonts w:ascii="Gill Sans MT" w:hAnsi="Gill Sans MT" w:cs="Gill Sans MT"/>
          <w:b/>
          <w:bCs/>
          <w:i/>
          <w:iCs/>
          <w:kern w:val="24"/>
        </w:rPr>
        <w:t xml:space="preserve">Accidents </w:t>
      </w:r>
      <w:proofErr w:type="spellStart"/>
      <w:r w:rsidRPr="00FF37C9">
        <w:rPr>
          <w:rFonts w:ascii="Gill Sans MT" w:hAnsi="Gill Sans MT" w:cs="Gill Sans MT"/>
          <w:b/>
          <w:bCs/>
          <w:i/>
          <w:iCs/>
          <w:kern w:val="24"/>
        </w:rPr>
        <w:t>immuno</w:t>
      </w:r>
      <w:proofErr w:type="spellEnd"/>
      <w:r w:rsidRPr="00FF37C9">
        <w:rPr>
          <w:rFonts w:ascii="Gill Sans MT" w:hAnsi="Gill Sans MT" w:cs="Gill Sans MT"/>
          <w:b/>
          <w:bCs/>
          <w:i/>
          <w:iCs/>
          <w:kern w:val="24"/>
        </w:rPr>
        <w:t>-allergiques</w:t>
      </w:r>
      <w:r w:rsidRPr="00FF37C9">
        <w:rPr>
          <w:rFonts w:ascii="Gill Sans MT" w:hAnsi="Gill Sans MT" w:cs="Gill Sans MT"/>
          <w:b/>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L'étomidate présenté en solution dans du propylène glycol n'induit pas de libération d'histamine. </w:t>
      </w:r>
    </w:p>
    <w:p w:rsidR="0050311E" w:rsidRPr="0050311E" w:rsidRDefault="0050311E" w:rsidP="0050311E">
      <w:pPr>
        <w:autoSpaceDE w:val="0"/>
        <w:autoSpaceDN w:val="0"/>
        <w:adjustRightInd w:val="0"/>
        <w:spacing w:after="0" w:line="240" w:lineRule="auto"/>
        <w:rPr>
          <w:rFonts w:ascii="Gill Sans MT" w:hAnsi="Gill Sans MT" w:cs="Gill Sans MT"/>
          <w:kern w:val="24"/>
        </w:rPr>
      </w:pPr>
    </w:p>
    <w:p w:rsidR="002F1356" w:rsidRPr="002E2CEC" w:rsidRDefault="002F1356" w:rsidP="002F1356">
      <w:pPr>
        <w:numPr>
          <w:ilvl w:val="0"/>
          <w:numId w:val="6"/>
        </w:numPr>
        <w:autoSpaceDE w:val="0"/>
        <w:autoSpaceDN w:val="0"/>
        <w:adjustRightInd w:val="0"/>
        <w:spacing w:after="0" w:line="240" w:lineRule="auto"/>
        <w:ind w:left="576" w:hanging="446"/>
        <w:rPr>
          <w:rFonts w:ascii="Gill Sans MT" w:hAnsi="Gill Sans MT" w:cs="Gill Sans MT"/>
          <w:b/>
          <w:kern w:val="24"/>
          <w:sz w:val="28"/>
        </w:rPr>
      </w:pPr>
      <w:r w:rsidRPr="002E2CEC">
        <w:rPr>
          <w:rFonts w:ascii="Gill Sans MT" w:hAnsi="Gill Sans MT" w:cs="Gill Sans MT"/>
          <w:b/>
          <w:kern w:val="24"/>
          <w:sz w:val="28"/>
        </w:rPr>
        <w:t xml:space="preserve">Modalités d'administration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Induction = </w:t>
      </w:r>
      <w:r w:rsidRPr="00FF37C9">
        <w:rPr>
          <w:rFonts w:ascii="Gill Sans MT" w:hAnsi="Gill Sans MT" w:cs="Gill Sans MT"/>
          <w:b/>
          <w:bCs/>
          <w:kern w:val="24"/>
        </w:rPr>
        <w:t xml:space="preserve">0,3 mg/kg </w:t>
      </w:r>
      <w:r w:rsidRPr="00FF37C9">
        <w:rPr>
          <w:rFonts w:ascii="Gill Sans MT" w:hAnsi="Gill Sans MT" w:cs="Gill Sans MT"/>
          <w:kern w:val="24"/>
        </w:rPr>
        <w:t xml:space="preserve">injectée en 20 à 40 secondes.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Le sommeil en 30 sec et dure 4 à 6 mn.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Entretien : </w:t>
      </w:r>
      <w:r w:rsidRPr="00FF37C9">
        <w:rPr>
          <w:rFonts w:ascii="Gill Sans MT" w:hAnsi="Gill Sans MT" w:cs="Gill Sans MT"/>
          <w:b/>
          <w:bCs/>
          <w:kern w:val="24"/>
        </w:rPr>
        <w:t xml:space="preserve">0,25 à 1,8 mg/kg/h </w:t>
      </w:r>
      <w:r w:rsidRPr="00FF37C9">
        <w:rPr>
          <w:rFonts w:ascii="Gill Sans MT" w:hAnsi="Gill Sans MT" w:cs="Gill Sans MT"/>
          <w:kern w:val="24"/>
        </w:rPr>
        <w:t xml:space="preserve">suivant le type de </w:t>
      </w:r>
      <w:r w:rsidR="00AE63AA" w:rsidRPr="00FF37C9">
        <w:rPr>
          <w:rFonts w:ascii="Gill Sans MT" w:hAnsi="Gill Sans MT" w:cs="Gill Sans MT"/>
          <w:kern w:val="24"/>
        </w:rPr>
        <w:t>chirurgie.</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Enfant de 2 à 13 ans : (peut être nécessaire d'augmenter la posologie). Une dose de </w:t>
      </w:r>
      <w:r w:rsidRPr="00FF37C9">
        <w:rPr>
          <w:rFonts w:ascii="Gill Sans MT" w:hAnsi="Gill Sans MT" w:cs="Gill Sans MT"/>
          <w:b/>
          <w:bCs/>
          <w:kern w:val="24"/>
        </w:rPr>
        <w:t xml:space="preserve">30 % supérieure </w:t>
      </w:r>
      <w:r w:rsidRPr="00FF37C9">
        <w:rPr>
          <w:rFonts w:ascii="Gill Sans MT" w:hAnsi="Gill Sans MT" w:cs="Gill Sans MT"/>
          <w:kern w:val="24"/>
        </w:rPr>
        <w:t>à la dose utilisée chez l'adulte est parfois nécessaire</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Pas d’effet analgésique.</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L'administration d'un morphinique ou d'une benzodiazépine diminue l'incidence des </w:t>
      </w:r>
      <w:proofErr w:type="spellStart"/>
      <w:r w:rsidRPr="00FF37C9">
        <w:rPr>
          <w:rFonts w:ascii="Gill Sans MT" w:hAnsi="Gill Sans MT" w:cs="Gill Sans MT"/>
          <w:kern w:val="24"/>
        </w:rPr>
        <w:t>myoclonies</w:t>
      </w:r>
      <w:proofErr w:type="spellEnd"/>
      <w:r w:rsidRPr="00FF37C9">
        <w:rPr>
          <w:rFonts w:ascii="Gill Sans MT" w:hAnsi="Gill Sans MT" w:cs="Gill Sans MT"/>
          <w:kern w:val="24"/>
        </w:rPr>
        <w:t xml:space="preserve"> observées à l'induction. L'utilisation d'une veine de calibre important permet de réduire la fréquence et l'intensité de la douleur de l'injection.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La pharmacocinétique justifie une réduction de dose chez le sujet âgé (</w:t>
      </w:r>
      <w:r w:rsidRPr="00FF37C9">
        <w:rPr>
          <w:rFonts w:ascii="Gill Sans MT" w:hAnsi="Gill Sans MT" w:cs="Gill Sans MT"/>
          <w:b/>
          <w:bCs/>
          <w:kern w:val="24"/>
        </w:rPr>
        <w:t>0,2 mg/kg</w:t>
      </w:r>
      <w:r w:rsidRPr="00FF37C9">
        <w:rPr>
          <w:rFonts w:ascii="Gill Sans MT" w:hAnsi="Gill Sans MT" w:cs="Gill Sans MT"/>
          <w:kern w:val="24"/>
        </w:rPr>
        <w:t xml:space="preserve">) bien que l'excellente tolérance hémodynamique du produit ne la rende pas indispensable.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lastRenderedPageBreak/>
        <w:t xml:space="preserve">Modalités d'administration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En perfusion pour l'entretien = 10 à 30 </w:t>
      </w:r>
      <w:r w:rsidR="00AE63AA" w:rsidRPr="00FF37C9">
        <w:rPr>
          <w:rFonts w:ascii="Gill Sans MT" w:hAnsi="Gill Sans MT" w:cs="Gill Sans MT"/>
          <w:kern w:val="24"/>
        </w:rPr>
        <w:t>µ</w:t>
      </w:r>
      <w:r w:rsidRPr="00FF37C9">
        <w:rPr>
          <w:rFonts w:ascii="Gill Sans MT" w:hAnsi="Gill Sans MT" w:cs="Gill Sans MT"/>
          <w:kern w:val="24"/>
        </w:rPr>
        <w:t xml:space="preserve"> g/kg/min selon l'âge et les produits associés.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Perfusion dès l'induction = 100 </w:t>
      </w:r>
      <w:r w:rsidRPr="002F1356">
        <w:sym w:font="Symbol" w:char="F06D"/>
      </w:r>
      <w:r w:rsidRPr="00FF37C9">
        <w:rPr>
          <w:rFonts w:ascii="Gill Sans MT" w:hAnsi="Gill Sans MT" w:cs="Gill Sans MT"/>
          <w:kern w:val="24"/>
        </w:rPr>
        <w:t xml:space="preserve"> g/kg/min, le sommeil étant obtenu dans les 2 mn.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Cette technique d'induction permet de réduire l'incidence des </w:t>
      </w:r>
      <w:proofErr w:type="spellStart"/>
      <w:r w:rsidRPr="00FF37C9">
        <w:rPr>
          <w:rFonts w:ascii="Gill Sans MT" w:hAnsi="Gill Sans MT" w:cs="Gill Sans MT"/>
          <w:kern w:val="24"/>
        </w:rPr>
        <w:t>myoclonies</w:t>
      </w:r>
      <w:proofErr w:type="spellEnd"/>
      <w:r w:rsidRPr="00FF37C9">
        <w:rPr>
          <w:rFonts w:ascii="Gill Sans MT" w:hAnsi="Gill Sans MT" w:cs="Gill Sans MT"/>
          <w:kern w:val="24"/>
        </w:rPr>
        <w:t>, de la douleur et des thrombophlébites.</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Le morphinique est ajouté soit en injections intermittentes, soit en perfusion à la dose de 0,06 à 0,08 </w:t>
      </w:r>
      <w:r w:rsidRPr="00FF37C9">
        <w:rPr>
          <w:rFonts w:ascii="Gill Sans MT" w:hAnsi="Gill Sans MT" w:cs="Gill Sans MT"/>
          <w:kern w:val="24"/>
        </w:rPr>
        <w:t xml:space="preserve"> g/kg/min pour le fentanyl, de 1 à 2 </w:t>
      </w:r>
      <w:r w:rsidR="00AE63AA" w:rsidRPr="00FF37C9">
        <w:rPr>
          <w:rFonts w:ascii="Gill Sans MT" w:hAnsi="Gill Sans MT" w:cs="Gill Sans MT"/>
          <w:kern w:val="24"/>
        </w:rPr>
        <w:t>µ</w:t>
      </w:r>
      <w:r w:rsidRPr="00FF37C9">
        <w:rPr>
          <w:rFonts w:ascii="Gill Sans MT" w:hAnsi="Gill Sans MT" w:cs="Gill Sans MT"/>
          <w:kern w:val="24"/>
        </w:rPr>
        <w:t xml:space="preserve"> g/kg/min pour l'alfentanil.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Le réveil survient en moyenne en 10 mn (2 à 47 selon la durée de la perfusion qui était ici de 1 à 6 h).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Chez l'enfant, la dose conseillée est de 40 à 50 </w:t>
      </w:r>
      <w:r w:rsidR="00AE63AA" w:rsidRPr="00FF37C9">
        <w:rPr>
          <w:rFonts w:ascii="Gill Sans MT" w:hAnsi="Gill Sans MT" w:cs="Gill Sans MT"/>
          <w:kern w:val="24"/>
        </w:rPr>
        <w:t>µ</w:t>
      </w:r>
      <w:r w:rsidRPr="00FF37C9">
        <w:rPr>
          <w:rFonts w:ascii="Gill Sans MT" w:hAnsi="Gill Sans MT" w:cs="Gill Sans MT"/>
          <w:kern w:val="24"/>
        </w:rPr>
        <w:t xml:space="preserve"> g/kg/min.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Seules les perfusions de courte durée (quelques heures) sont acceptables en raison du risque endocrinien. L'utilisation de cet agent en sédation a été abandonnée.</w:t>
      </w:r>
    </w:p>
    <w:p w:rsidR="0050311E" w:rsidRPr="002F1356" w:rsidRDefault="0050311E" w:rsidP="00FF37C9">
      <w:pPr>
        <w:autoSpaceDE w:val="0"/>
        <w:autoSpaceDN w:val="0"/>
        <w:adjustRightInd w:val="0"/>
        <w:spacing w:after="0" w:line="240" w:lineRule="auto"/>
        <w:rPr>
          <w:rFonts w:ascii="Gill Sans MT" w:hAnsi="Gill Sans MT" w:cs="Gill Sans MT"/>
          <w:kern w:val="24"/>
        </w:rPr>
      </w:pPr>
    </w:p>
    <w:p w:rsidR="002F1356" w:rsidRPr="002E2CEC" w:rsidRDefault="002F1356" w:rsidP="002F1356">
      <w:pPr>
        <w:numPr>
          <w:ilvl w:val="0"/>
          <w:numId w:val="6"/>
        </w:numPr>
        <w:autoSpaceDE w:val="0"/>
        <w:autoSpaceDN w:val="0"/>
        <w:adjustRightInd w:val="0"/>
        <w:spacing w:after="0" w:line="240" w:lineRule="auto"/>
        <w:ind w:left="576" w:hanging="446"/>
        <w:rPr>
          <w:rFonts w:ascii="Gill Sans MT" w:hAnsi="Gill Sans MT" w:cs="Gill Sans MT"/>
          <w:b/>
          <w:kern w:val="24"/>
          <w:sz w:val="28"/>
        </w:rPr>
      </w:pPr>
      <w:r w:rsidRPr="002E2CEC">
        <w:rPr>
          <w:rFonts w:ascii="Gill Sans MT" w:hAnsi="Gill Sans MT" w:cs="Gill Sans MT"/>
          <w:b/>
          <w:kern w:val="24"/>
          <w:sz w:val="28"/>
        </w:rPr>
        <w:t>Indications particulières</w:t>
      </w:r>
    </w:p>
    <w:p w:rsidR="002F1356" w:rsidRPr="00FF37C9" w:rsidRDefault="00FF37C9"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L’hypnotique</w:t>
      </w:r>
      <w:r w:rsidR="002F1356" w:rsidRPr="00FF37C9">
        <w:rPr>
          <w:rFonts w:ascii="Gill Sans MT" w:hAnsi="Gill Sans MT" w:cs="Gill Sans MT"/>
          <w:kern w:val="24"/>
        </w:rPr>
        <w:t xml:space="preserve"> de choix chez le patient </w:t>
      </w:r>
      <w:r w:rsidR="00AE63AA" w:rsidRPr="00FF37C9">
        <w:rPr>
          <w:rFonts w:ascii="Gill Sans MT" w:hAnsi="Gill Sans MT" w:cs="Gill Sans MT"/>
          <w:kern w:val="24"/>
        </w:rPr>
        <w:t xml:space="preserve">allergique. </w:t>
      </w:r>
    </w:p>
    <w:p w:rsidR="002F1356" w:rsidRPr="00FF37C9" w:rsidRDefault="002F1356" w:rsidP="00FF37C9">
      <w:pPr>
        <w:autoSpaceDE w:val="0"/>
        <w:autoSpaceDN w:val="0"/>
        <w:adjustRightInd w:val="0"/>
        <w:spacing w:after="0" w:line="240" w:lineRule="auto"/>
        <w:ind w:left="360"/>
        <w:rPr>
          <w:rFonts w:ascii="Gill Sans MT" w:hAnsi="Gill Sans MT" w:cs="Gill Sans MT"/>
          <w:b/>
          <w:bCs/>
          <w:kern w:val="24"/>
        </w:rPr>
      </w:pPr>
      <w:r w:rsidRPr="00FF37C9">
        <w:rPr>
          <w:rFonts w:ascii="Gill Sans MT" w:hAnsi="Gill Sans MT" w:cs="Gill Sans MT"/>
          <w:kern w:val="24"/>
        </w:rPr>
        <w:t xml:space="preserve">Cet avantage ainsi que la bonne tolérance sur les plans respiratoire et cardio-vasculaire en font une bonne indication dans </w:t>
      </w:r>
      <w:r w:rsidRPr="00FF37C9">
        <w:rPr>
          <w:rFonts w:ascii="Gill Sans MT" w:hAnsi="Gill Sans MT" w:cs="Gill Sans MT"/>
          <w:b/>
          <w:bCs/>
          <w:kern w:val="24"/>
        </w:rPr>
        <w:t xml:space="preserve">l'anesthésie de l'asthmatique.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Des états de mal résistant aux traitements habituels ont même été traités avec succès par une perfusion d'étomidate, la supplémentation en cortisone étant bien sûr assurée conjointement.</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L'absence d'effet </w:t>
      </w:r>
      <w:r w:rsidR="00AE63AA" w:rsidRPr="00FF37C9">
        <w:rPr>
          <w:rFonts w:ascii="Gill Sans MT" w:hAnsi="Gill Sans MT" w:cs="Gill Sans MT"/>
          <w:kern w:val="24"/>
        </w:rPr>
        <w:t>broncho constricteur</w:t>
      </w:r>
      <w:r w:rsidRPr="00FF37C9">
        <w:rPr>
          <w:rFonts w:ascii="Gill Sans MT" w:hAnsi="Gill Sans MT" w:cs="Gill Sans MT"/>
          <w:kern w:val="24"/>
        </w:rPr>
        <w:t xml:space="preserve"> et le maintien d'une ventilation suffisante associés à sa brièveté d'action justifient son emploi pour les endoscopies ORL et la microchirurgie du larynx.</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 discrétion des répercussions hémodynamiques explique son choix chez le </w:t>
      </w:r>
      <w:r w:rsidRPr="00FF37C9">
        <w:rPr>
          <w:rFonts w:ascii="Gill Sans MT" w:hAnsi="Gill Sans MT" w:cs="Gill Sans MT"/>
          <w:b/>
          <w:bCs/>
          <w:kern w:val="24"/>
        </w:rPr>
        <w:t>sujet à risque cardio-vasculaire élevé</w:t>
      </w:r>
      <w:r w:rsidRPr="00FF37C9">
        <w:rPr>
          <w:rFonts w:ascii="Gill Sans MT" w:hAnsi="Gill Sans MT" w:cs="Gill Sans MT"/>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L'absence de chute des RVS après le bolus d'induction et la possibilité de limiter, voire d'éviter grâce à l'injection d'un morphinique, l'hypertension artérielle liée à l'intubation trachéale indiquent cet agent chez </w:t>
      </w:r>
      <w:r w:rsidRPr="00FF37C9">
        <w:rPr>
          <w:rFonts w:ascii="Gill Sans MT" w:hAnsi="Gill Sans MT" w:cs="Gill Sans MT"/>
          <w:b/>
          <w:bCs/>
          <w:kern w:val="24"/>
        </w:rPr>
        <w:t>le patient coronarien, hypertendu ou atteint de valvulopathie</w:t>
      </w:r>
      <w:r w:rsidRPr="00FF37C9">
        <w:rPr>
          <w:rFonts w:ascii="Gill Sans MT" w:hAnsi="Gill Sans MT" w:cs="Gill Sans MT"/>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 stabilité des paramètres hémodynamiques, et en particulier de la </w:t>
      </w:r>
      <w:proofErr w:type="spellStart"/>
      <w:r w:rsidRPr="00FF37C9">
        <w:rPr>
          <w:rFonts w:ascii="Gill Sans MT" w:hAnsi="Gill Sans MT" w:cs="Gill Sans MT"/>
          <w:kern w:val="24"/>
        </w:rPr>
        <w:t>précharge</w:t>
      </w:r>
      <w:proofErr w:type="spellEnd"/>
      <w:r w:rsidRPr="00FF37C9">
        <w:rPr>
          <w:rFonts w:ascii="Gill Sans MT" w:hAnsi="Gill Sans MT" w:cs="Gill Sans MT"/>
          <w:kern w:val="24"/>
        </w:rPr>
        <w:t xml:space="preserve"> du ventricule gauche, est appréciée chez </w:t>
      </w:r>
      <w:r w:rsidRPr="00FF37C9">
        <w:rPr>
          <w:rFonts w:ascii="Gill Sans MT" w:hAnsi="Gill Sans MT" w:cs="Gill Sans MT"/>
          <w:b/>
          <w:bCs/>
          <w:kern w:val="24"/>
        </w:rPr>
        <w:t>l'opéré en état de choc</w:t>
      </w:r>
      <w:r w:rsidRPr="00FF37C9">
        <w:rPr>
          <w:rFonts w:ascii="Gill Sans MT" w:hAnsi="Gill Sans MT" w:cs="Gill Sans MT"/>
          <w:kern w:val="24"/>
        </w:rPr>
        <w:t>.</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La maniabilité du produit (induction rapide, courte durée d'action, utilisation possible en perfusion), la discrétion de ses effets ventilatoires et cardio-vasculaires et la diminution de la PIC justifient son emploi pour </w:t>
      </w:r>
      <w:r w:rsidRPr="00FF37C9">
        <w:rPr>
          <w:rFonts w:ascii="Gill Sans MT" w:hAnsi="Gill Sans MT" w:cs="Gill Sans MT"/>
          <w:b/>
          <w:bCs/>
          <w:kern w:val="24"/>
        </w:rPr>
        <w:t xml:space="preserve">l'anesthésie </w:t>
      </w:r>
      <w:r w:rsidR="00AE63AA" w:rsidRPr="00FF37C9">
        <w:rPr>
          <w:rFonts w:ascii="Gill Sans MT" w:hAnsi="Gill Sans MT" w:cs="Gill Sans MT"/>
          <w:b/>
          <w:bCs/>
          <w:kern w:val="24"/>
        </w:rPr>
        <w:t>pré hospitalière</w:t>
      </w:r>
      <w:r w:rsidRPr="00FF37C9">
        <w:rPr>
          <w:rFonts w:ascii="Gill Sans MT" w:hAnsi="Gill Sans MT" w:cs="Gill Sans MT"/>
          <w:b/>
          <w:bCs/>
          <w:kern w:val="24"/>
        </w:rPr>
        <w:t xml:space="preserve"> des polytraumatisés</w:t>
      </w:r>
      <w:r w:rsidRPr="00FF37C9">
        <w:rPr>
          <w:rFonts w:ascii="Gill Sans MT" w:hAnsi="Gill Sans MT" w:cs="Gill Sans MT"/>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Les modifications pharmacocinétiques induites par les états de choc impliquent une réduction de la dose d'induction (0,1 à 0,2 mg/kg)</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L'étomidate est conseillé pour induire l'anesthésie chez les </w:t>
      </w:r>
      <w:r w:rsidRPr="00FF37C9">
        <w:rPr>
          <w:rFonts w:ascii="Gill Sans MT" w:hAnsi="Gill Sans MT" w:cs="Gill Sans MT"/>
          <w:b/>
          <w:bCs/>
          <w:kern w:val="24"/>
        </w:rPr>
        <w:t>sujets atteints d'hypertension intracrânienne.</w:t>
      </w:r>
      <w:r w:rsidRPr="00FF37C9">
        <w:rPr>
          <w:rFonts w:ascii="Gill Sans MT" w:hAnsi="Gill Sans MT" w:cs="Gill Sans MT"/>
          <w:kern w:val="24"/>
        </w:rPr>
        <w:t xml:space="preserv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L'étomidate a été employé avec succès pour </w:t>
      </w:r>
      <w:r w:rsidRPr="00FF37C9">
        <w:rPr>
          <w:rFonts w:ascii="Gill Sans MT" w:hAnsi="Gill Sans MT" w:cs="Gill Sans MT"/>
          <w:b/>
          <w:bCs/>
          <w:kern w:val="24"/>
        </w:rPr>
        <w:t xml:space="preserve">traiter des états de mal convulsifs </w:t>
      </w:r>
      <w:r w:rsidRPr="00FF37C9">
        <w:rPr>
          <w:rFonts w:ascii="Gill Sans MT" w:hAnsi="Gill Sans MT" w:cs="Gill Sans MT"/>
          <w:kern w:val="24"/>
        </w:rPr>
        <w:t xml:space="preserve">résistant aux traitements habituels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Les résultats obtenus ont conduit les auteurs à conserver cette indication sous couvert d'une corticothérapie maintenue 72 h après l'arrêt de la perfusion.</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Les </w:t>
      </w:r>
      <w:r w:rsidRPr="00FF37C9">
        <w:rPr>
          <w:rFonts w:ascii="Gill Sans MT" w:hAnsi="Gill Sans MT" w:cs="Gill Sans MT"/>
          <w:b/>
          <w:bCs/>
          <w:kern w:val="24"/>
        </w:rPr>
        <w:t xml:space="preserve">interventions ophtalmologiques </w:t>
      </w:r>
      <w:r w:rsidRPr="00FF37C9">
        <w:rPr>
          <w:rFonts w:ascii="Gill Sans MT" w:hAnsi="Gill Sans MT" w:cs="Gill Sans MT"/>
          <w:kern w:val="24"/>
        </w:rPr>
        <w:t>nécessitant une diminution de la pression intraoculaire sont une bonne indication de l'étomidate.</w:t>
      </w:r>
    </w:p>
    <w:p w:rsidR="00AE63AA" w:rsidRDefault="00AE63AA" w:rsidP="00AE63AA">
      <w:pPr>
        <w:autoSpaceDE w:val="0"/>
        <w:autoSpaceDN w:val="0"/>
        <w:adjustRightInd w:val="0"/>
        <w:spacing w:after="0" w:line="240" w:lineRule="auto"/>
        <w:rPr>
          <w:rFonts w:ascii="Gill Sans MT" w:hAnsi="Gill Sans MT" w:cs="Gill Sans MT"/>
          <w:kern w:val="24"/>
        </w:rPr>
      </w:pPr>
    </w:p>
    <w:p w:rsidR="00AE63AA" w:rsidRDefault="00AE63AA" w:rsidP="00AE63AA">
      <w:pPr>
        <w:autoSpaceDE w:val="0"/>
        <w:autoSpaceDN w:val="0"/>
        <w:adjustRightInd w:val="0"/>
        <w:spacing w:after="0" w:line="240" w:lineRule="auto"/>
        <w:rPr>
          <w:rFonts w:ascii="Gill Sans MT" w:hAnsi="Gill Sans MT" w:cs="Gill Sans MT"/>
          <w:kern w:val="24"/>
        </w:rPr>
      </w:pPr>
    </w:p>
    <w:p w:rsidR="002F1356" w:rsidRPr="002E2CEC" w:rsidRDefault="002F1356" w:rsidP="002F1356">
      <w:pPr>
        <w:numPr>
          <w:ilvl w:val="0"/>
          <w:numId w:val="6"/>
        </w:numPr>
        <w:autoSpaceDE w:val="0"/>
        <w:autoSpaceDN w:val="0"/>
        <w:adjustRightInd w:val="0"/>
        <w:spacing w:after="0" w:line="240" w:lineRule="auto"/>
        <w:ind w:left="576" w:hanging="446"/>
        <w:rPr>
          <w:rFonts w:ascii="Gill Sans MT" w:hAnsi="Gill Sans MT" w:cs="Gill Sans MT"/>
          <w:b/>
          <w:kern w:val="24"/>
          <w:sz w:val="28"/>
        </w:rPr>
      </w:pPr>
      <w:r w:rsidRPr="002E2CEC">
        <w:rPr>
          <w:rFonts w:ascii="Gill Sans MT" w:hAnsi="Gill Sans MT" w:cs="Gill Sans MT"/>
          <w:b/>
          <w:kern w:val="24"/>
          <w:sz w:val="28"/>
        </w:rPr>
        <w:t>Contre-indications</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Enfant de moins de 2 ans.</w:t>
      </w:r>
      <w:r w:rsidRPr="00FF37C9">
        <w:rPr>
          <w:rFonts w:ascii="Gill Sans MT" w:hAnsi="Gill Sans MT" w:cs="Gill Sans MT"/>
          <w:kern w:val="24"/>
        </w:rPr>
        <w:tab/>
      </w:r>
      <w:r w:rsidRPr="00FF37C9">
        <w:rPr>
          <w:rFonts w:ascii="Gill Sans MT" w:hAnsi="Gill Sans MT" w:cs="Gill Sans MT"/>
          <w:kern w:val="24"/>
        </w:rPr>
        <w:tab/>
      </w:r>
      <w:r w:rsidRPr="00FF37C9">
        <w:rPr>
          <w:rFonts w:ascii="Gill Sans MT" w:hAnsi="Gill Sans MT" w:cs="Gill Sans MT"/>
          <w:kern w:val="24"/>
        </w:rPr>
        <w:tab/>
      </w:r>
      <w:r w:rsidRPr="00FF37C9">
        <w:rPr>
          <w:rFonts w:ascii="Gill Sans MT" w:hAnsi="Gill Sans MT" w:cs="Gill Sans MT"/>
          <w:kern w:val="24"/>
        </w:rPr>
        <w:tab/>
      </w:r>
      <w:r w:rsidRPr="00FF37C9">
        <w:rPr>
          <w:rFonts w:ascii="Gill Sans MT" w:hAnsi="Gill Sans MT" w:cs="Gill Sans MT"/>
          <w:kern w:val="24"/>
        </w:rPr>
        <w:tab/>
      </w:r>
      <w:r w:rsidRPr="00FF37C9">
        <w:rPr>
          <w:rFonts w:ascii="Gill Sans MT" w:hAnsi="Gill Sans MT" w:cs="Gill Sans MT"/>
          <w:kern w:val="24"/>
        </w:rPr>
        <w:tab/>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Hypersensibilité connue à l'étomidate.</w:t>
      </w:r>
    </w:p>
    <w:p w:rsidR="002F1356" w:rsidRPr="00FF37C9" w:rsidRDefault="002F1356" w:rsidP="00FF37C9">
      <w:pPr>
        <w:autoSpaceDE w:val="0"/>
        <w:autoSpaceDN w:val="0"/>
        <w:adjustRightInd w:val="0"/>
        <w:spacing w:after="0" w:line="240" w:lineRule="auto"/>
        <w:ind w:left="360"/>
        <w:rPr>
          <w:rFonts w:ascii="Gill Sans MT" w:hAnsi="Gill Sans MT" w:cs="Gill Sans MT"/>
          <w:b/>
          <w:bCs/>
          <w:kern w:val="24"/>
        </w:rPr>
      </w:pPr>
      <w:r w:rsidRPr="00FF37C9">
        <w:rPr>
          <w:rFonts w:ascii="Gill Sans MT" w:hAnsi="Gill Sans MT" w:cs="Gill Sans MT"/>
          <w:kern w:val="24"/>
        </w:rPr>
        <w:t xml:space="preserve">Il est évident que les conséquences endocriniennes contre-indiquent l'étomidate dans la réalisation de </w:t>
      </w:r>
      <w:r w:rsidRPr="00FF37C9">
        <w:rPr>
          <w:rFonts w:ascii="Gill Sans MT" w:hAnsi="Gill Sans MT" w:cs="Gill Sans MT"/>
          <w:b/>
          <w:bCs/>
          <w:kern w:val="24"/>
        </w:rPr>
        <w:t xml:space="preserve">perfusions de longue durée.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Dans le cas où les avantages de cet agent paraissent majeurs, une supplémentation par cortisone doit pallier les conséquences de son défaut de synthèse. </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Pour la même raison, les sujets déjà susceptibles d'être victimes d'une </w:t>
      </w:r>
      <w:r w:rsidRPr="00FF37C9">
        <w:rPr>
          <w:rFonts w:ascii="Gill Sans MT" w:hAnsi="Gill Sans MT" w:cs="Gill Sans MT"/>
          <w:b/>
          <w:bCs/>
          <w:kern w:val="24"/>
        </w:rPr>
        <w:t>insuffisance cortico</w:t>
      </w:r>
      <w:r w:rsidR="00AE63AA" w:rsidRPr="00FF37C9">
        <w:rPr>
          <w:rFonts w:ascii="Gill Sans MT" w:hAnsi="Gill Sans MT" w:cs="Gill Sans MT"/>
          <w:b/>
          <w:bCs/>
          <w:kern w:val="24"/>
        </w:rPr>
        <w:t>-</w:t>
      </w:r>
      <w:r w:rsidRPr="00FF37C9">
        <w:rPr>
          <w:rFonts w:ascii="Gill Sans MT" w:hAnsi="Gill Sans MT" w:cs="Gill Sans MT"/>
          <w:b/>
          <w:bCs/>
          <w:kern w:val="24"/>
        </w:rPr>
        <w:t xml:space="preserve">surrénalienne </w:t>
      </w:r>
      <w:r w:rsidRPr="00FF37C9">
        <w:rPr>
          <w:rFonts w:ascii="Gill Sans MT" w:hAnsi="Gill Sans MT" w:cs="Gill Sans MT"/>
          <w:kern w:val="24"/>
        </w:rPr>
        <w:t>doivent être exclus.</w:t>
      </w:r>
    </w:p>
    <w:p w:rsidR="002F1356" w:rsidRPr="00FF37C9" w:rsidRDefault="002F1356"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t xml:space="preserve">Il est préférable de </w:t>
      </w:r>
      <w:r w:rsidRPr="00FF37C9">
        <w:rPr>
          <w:rFonts w:ascii="Gill Sans MT" w:hAnsi="Gill Sans MT" w:cs="Gill Sans MT"/>
          <w:b/>
          <w:bCs/>
          <w:kern w:val="24"/>
        </w:rPr>
        <w:t>l'éviter chez l'épileptique</w:t>
      </w:r>
      <w:r w:rsidRPr="00FF37C9">
        <w:rPr>
          <w:rFonts w:ascii="Gill Sans MT" w:hAnsi="Gill Sans MT" w:cs="Gill Sans MT"/>
          <w:kern w:val="24"/>
        </w:rPr>
        <w:t xml:space="preserve">. </w:t>
      </w:r>
    </w:p>
    <w:p w:rsidR="002F1356" w:rsidRPr="00FF37C9" w:rsidRDefault="00FB2E4E" w:rsidP="00FF37C9">
      <w:pPr>
        <w:autoSpaceDE w:val="0"/>
        <w:autoSpaceDN w:val="0"/>
        <w:adjustRightInd w:val="0"/>
        <w:spacing w:after="0" w:line="240" w:lineRule="auto"/>
        <w:ind w:left="360"/>
        <w:rPr>
          <w:rFonts w:ascii="Gill Sans MT" w:hAnsi="Gill Sans MT" w:cs="Gill Sans MT"/>
          <w:kern w:val="24"/>
        </w:rPr>
      </w:pPr>
      <w:r w:rsidRPr="00FF37C9">
        <w:rPr>
          <w:rFonts w:ascii="Gill Sans MT" w:hAnsi="Gill Sans MT" w:cs="Gill Sans MT"/>
          <w:kern w:val="24"/>
        </w:rPr>
        <w:lastRenderedPageBreak/>
        <w:t>Déconseiller</w:t>
      </w:r>
      <w:r w:rsidR="002F1356" w:rsidRPr="00FF37C9">
        <w:rPr>
          <w:rFonts w:ascii="Gill Sans MT" w:hAnsi="Gill Sans MT" w:cs="Gill Sans MT"/>
          <w:kern w:val="24"/>
        </w:rPr>
        <w:t xml:space="preserve"> en cas de porphyrie d'origine hépatique </w:t>
      </w:r>
    </w:p>
    <w:p w:rsidR="002F1356" w:rsidRPr="002F1356" w:rsidRDefault="002F1356" w:rsidP="002F1356">
      <w:pPr>
        <w:autoSpaceDE w:val="0"/>
        <w:autoSpaceDN w:val="0"/>
        <w:adjustRightInd w:val="0"/>
        <w:spacing w:after="0" w:line="240" w:lineRule="auto"/>
        <w:ind w:left="576" w:hanging="446"/>
        <w:rPr>
          <w:rFonts w:ascii="Gill Sans MT" w:hAnsi="Gill Sans MT" w:cs="Gill Sans MT"/>
          <w:kern w:val="24"/>
        </w:rPr>
      </w:pPr>
    </w:p>
    <w:p w:rsidR="00924D0F" w:rsidRPr="002F1356" w:rsidRDefault="00924D0F"/>
    <w:sectPr w:rsidR="00924D0F" w:rsidRPr="002F1356" w:rsidSect="002F1356">
      <w:headerReference w:type="even" r:id="rId7"/>
      <w:headerReference w:type="default" r:id="rId8"/>
      <w:footerReference w:type="even" r:id="rId9"/>
      <w:footerReference w:type="default" r:id="rId10"/>
      <w:headerReference w:type="first" r:id="rId11"/>
      <w:footerReference w:type="first" r:id="rId12"/>
      <w:pgSz w:w="12240" w:h="15840"/>
      <w:pgMar w:top="1417" w:right="616" w:bottom="141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F0" w:rsidRDefault="007C15F0" w:rsidP="002F1356">
      <w:pPr>
        <w:spacing w:after="0" w:line="240" w:lineRule="auto"/>
      </w:pPr>
      <w:r>
        <w:separator/>
      </w:r>
    </w:p>
  </w:endnote>
  <w:endnote w:type="continuationSeparator" w:id="0">
    <w:p w:rsidR="007C15F0" w:rsidRDefault="007C15F0" w:rsidP="002F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B41" w:rsidRDefault="00BF7B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504"/>
      <w:gridCol w:w="553"/>
    </w:tblGrid>
    <w:tr w:rsidR="00BF7B41">
      <w:trPr>
        <w:jc w:val="right"/>
      </w:trPr>
      <w:tc>
        <w:tcPr>
          <w:tcW w:w="4795" w:type="dxa"/>
          <w:vAlign w:val="center"/>
        </w:tcPr>
        <w:sdt>
          <w:sdtPr>
            <w:rPr>
              <w:caps/>
              <w:color w:val="000000" w:themeColor="text1"/>
            </w:rPr>
            <w:alias w:val="Auteur"/>
            <w:tag w:val=""/>
            <w:id w:val="1534539408"/>
            <w:placeholder>
              <w:docPart w:val="F7CA6B5C05064A6D96D10D89E97B193F"/>
            </w:placeholder>
            <w:dataBinding w:prefixMappings="xmlns:ns0='http://purl.org/dc/elements/1.1/' xmlns:ns1='http://schemas.openxmlformats.org/package/2006/metadata/core-properties' " w:xpath="/ns1:coreProperties[1]/ns0:creator[1]" w:storeItemID="{6C3C8BC8-F283-45AE-878A-BAB7291924A1}"/>
            <w:text/>
          </w:sdtPr>
          <w:sdtContent>
            <w:p w:rsidR="00BF7B41" w:rsidRDefault="00BF7B41">
              <w:pPr>
                <w:pStyle w:val="En-tte"/>
                <w:jc w:val="right"/>
                <w:rPr>
                  <w:caps/>
                  <w:color w:val="000000" w:themeColor="text1"/>
                </w:rPr>
              </w:pPr>
              <w:r>
                <w:rPr>
                  <w:caps/>
                  <w:color w:val="000000" w:themeColor="text1"/>
                </w:rPr>
                <w:t>BENELMIR Med Salah- pepm</w:t>
              </w:r>
            </w:p>
          </w:sdtContent>
        </w:sdt>
      </w:tc>
      <w:tc>
        <w:tcPr>
          <w:tcW w:w="250" w:type="pct"/>
          <w:shd w:val="clear" w:color="auto" w:fill="ED7D31" w:themeFill="accent2"/>
          <w:vAlign w:val="center"/>
        </w:tcPr>
        <w:p w:rsidR="00BF7B41" w:rsidRDefault="00BF7B41">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1</w:t>
          </w:r>
          <w:r>
            <w:rPr>
              <w:color w:val="FFFFFF" w:themeColor="background1"/>
            </w:rPr>
            <w:fldChar w:fldCharType="end"/>
          </w:r>
        </w:p>
      </w:tc>
    </w:tr>
  </w:tbl>
  <w:p w:rsidR="002A657F" w:rsidRDefault="002A657F">
    <w:pPr>
      <w:pStyle w:val="Pieddepag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B41" w:rsidRDefault="00BF7B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F0" w:rsidRDefault="007C15F0" w:rsidP="002F1356">
      <w:pPr>
        <w:spacing w:after="0" w:line="240" w:lineRule="auto"/>
      </w:pPr>
      <w:r>
        <w:separator/>
      </w:r>
    </w:p>
  </w:footnote>
  <w:footnote w:type="continuationSeparator" w:id="0">
    <w:p w:rsidR="007C15F0" w:rsidRDefault="007C15F0" w:rsidP="002F1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B41" w:rsidRDefault="00BF7B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0F" w:rsidRPr="002F1356" w:rsidRDefault="00924D0F" w:rsidP="002F1356">
    <w:pPr>
      <w:autoSpaceDE w:val="0"/>
      <w:autoSpaceDN w:val="0"/>
      <w:adjustRightInd w:val="0"/>
      <w:spacing w:after="0" w:line="240" w:lineRule="auto"/>
      <w:ind w:left="130"/>
      <w:rPr>
        <w:rFonts w:ascii="Gill Sans MT" w:hAnsi="Gill Sans MT" w:cs="Gill Sans MT"/>
        <w:b/>
        <w:bCs/>
        <w:kern w:val="24"/>
      </w:rPr>
    </w:pPr>
    <w:r w:rsidRPr="002F1356">
      <w:rPr>
        <w:rFonts w:ascii="Gill Sans MT" w:hAnsi="Gill Sans MT" w:cs="Gill Sans MT"/>
        <w:b/>
        <w:bCs/>
        <w:kern w:val="24"/>
      </w:rPr>
      <w:t>F.</w:t>
    </w:r>
    <w:r w:rsidR="002A657F" w:rsidRPr="002F1356">
      <w:rPr>
        <w:rFonts w:ascii="Gill Sans MT" w:hAnsi="Gill Sans MT" w:cs="Gill Sans MT"/>
        <w:b/>
        <w:bCs/>
        <w:kern w:val="24"/>
      </w:rPr>
      <w:t> d’Athis :</w:t>
    </w:r>
    <w:r w:rsidRPr="002F1356">
      <w:rPr>
        <w:rFonts w:ascii="Gill Sans MT" w:hAnsi="Gill Sans MT" w:cs="Gill Sans MT"/>
        <w:kern w:val="24"/>
      </w:rPr>
      <w:t> Professeur des uni</w:t>
    </w:r>
    <w:r w:rsidR="002A657F">
      <w:rPr>
        <w:rFonts w:ascii="Gill Sans MT" w:hAnsi="Gill Sans MT" w:cs="Gill Sans MT"/>
        <w:kern w:val="24"/>
      </w:rPr>
      <w:t>versités, praticien hospitalier</w:t>
    </w:r>
    <w:r w:rsidRPr="002F1356">
      <w:rPr>
        <w:rFonts w:ascii="Gill Sans MT" w:hAnsi="Gill Sans MT" w:cs="Gill Sans MT"/>
        <w:b/>
        <w:bCs/>
        <w:kern w:val="24"/>
      </w:rPr>
      <w:br/>
    </w:r>
    <w:r w:rsidRPr="002F1356">
      <w:rPr>
        <w:rFonts w:ascii="Gill Sans MT" w:hAnsi="Gill Sans MT" w:cs="Gill Sans MT"/>
        <w:kern w:val="24"/>
      </w:rPr>
      <w:t xml:space="preserve">Département d'anesthésie-réanimation A, hôpital Lapeyronie, route de Ganges, </w:t>
    </w:r>
    <w:r w:rsidR="002A657F" w:rsidRPr="002F1356">
      <w:rPr>
        <w:rFonts w:ascii="Gill Sans MT" w:hAnsi="Gill Sans MT" w:cs="Gill Sans MT"/>
        <w:kern w:val="24"/>
      </w:rPr>
      <w:t>34059 Montpellier,</w:t>
    </w:r>
    <w:r w:rsidRPr="002F1356">
      <w:rPr>
        <w:rFonts w:ascii="Gill Sans MT" w:hAnsi="Gill Sans MT" w:cs="Gill Sans MT"/>
        <w:kern w:val="24"/>
      </w:rPr>
      <w:t xml:space="preserve"> cedex France  </w:t>
    </w:r>
  </w:p>
  <w:p w:rsidR="00924D0F" w:rsidRPr="00BF7B41" w:rsidRDefault="00924D0F">
    <w:pPr>
      <w:pStyle w:val="En-tte"/>
      <w:jc w:val="center"/>
      <w:rPr>
        <w:caps/>
        <w:color w:val="5B9BD5" w:themeColor="accent1"/>
        <w:sz w:val="28"/>
      </w:rPr>
    </w:pPr>
    <w:r w:rsidRPr="00BF7B41">
      <w:rPr>
        <w:caps/>
        <w:color w:val="5B9BD5" w:themeColor="accent1"/>
        <w:sz w:val="28"/>
      </w:rPr>
      <w:t xml:space="preserve"> </w:t>
    </w:r>
    <w:sdt>
      <w:sdtPr>
        <w:rPr>
          <w:rFonts w:ascii="Gill Sans MT" w:hAnsi="Gill Sans MT" w:cs="Gill Sans MT"/>
          <w:b/>
          <w:i/>
          <w:iCs/>
          <w:kern w:val="24"/>
          <w:sz w:val="28"/>
        </w:rPr>
        <w:alias w:val="Titre"/>
        <w:tag w:val=""/>
        <w:id w:val="1950360855"/>
        <w:placeholder>
          <w:docPart w:val="B5B7EF95B6ED4B44AC812C358A5D9409"/>
        </w:placeholder>
        <w:dataBinding w:prefixMappings="xmlns:ns0='http://purl.org/dc/elements/1.1/' xmlns:ns1='http://schemas.openxmlformats.org/package/2006/metadata/core-properties' " w:xpath="/ns1:coreProperties[1]/ns0:title[1]" w:storeItemID="{6C3C8BC8-F283-45AE-878A-BAB7291924A1}"/>
        <w:text/>
      </w:sdtPr>
      <w:sdtEndPr/>
      <w:sdtContent>
        <w:r w:rsidRPr="00BF7B41">
          <w:rPr>
            <w:rFonts w:ascii="Gill Sans MT" w:hAnsi="Gill Sans MT" w:cs="Gill Sans MT"/>
            <w:b/>
            <w:i/>
            <w:iCs/>
            <w:kern w:val="24"/>
            <w:sz w:val="28"/>
          </w:rPr>
          <w:t>Etomidate (Hypnomidate®)</w:t>
        </w:r>
      </w:sdtContent>
    </w:sdt>
  </w:p>
  <w:p w:rsidR="00924D0F" w:rsidRDefault="00924D0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B41" w:rsidRDefault="00BF7B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A64EA6"/>
    <w:lvl w:ilvl="0">
      <w:numFmt w:val="bullet"/>
      <w:lvlText w:val="*"/>
      <w:lvlJc w:val="left"/>
    </w:lvl>
  </w:abstractNum>
  <w:abstractNum w:abstractNumId="1" w15:restartNumberingAfterBreak="0">
    <w:nsid w:val="029821AD"/>
    <w:multiLevelType w:val="hybridMultilevel"/>
    <w:tmpl w:val="55262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F93562"/>
    <w:multiLevelType w:val="hybridMultilevel"/>
    <w:tmpl w:val="7416EF6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5DA2633"/>
    <w:multiLevelType w:val="hybridMultilevel"/>
    <w:tmpl w:val="60FAF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461C63"/>
    <w:multiLevelType w:val="hybridMultilevel"/>
    <w:tmpl w:val="86586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71F3C"/>
    <w:multiLevelType w:val="hybridMultilevel"/>
    <w:tmpl w:val="05CEF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6F70C9"/>
    <w:multiLevelType w:val="hybridMultilevel"/>
    <w:tmpl w:val="3BCA024E"/>
    <w:lvl w:ilvl="0" w:tplc="F740F136">
      <w:start w:val="2"/>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4C16FD"/>
    <w:multiLevelType w:val="hybridMultilevel"/>
    <w:tmpl w:val="1DC20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A41766"/>
    <w:multiLevelType w:val="hybridMultilevel"/>
    <w:tmpl w:val="97181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804A1E"/>
    <w:multiLevelType w:val="hybridMultilevel"/>
    <w:tmpl w:val="340E6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8A5B82"/>
    <w:multiLevelType w:val="hybridMultilevel"/>
    <w:tmpl w:val="816EC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44206C"/>
    <w:multiLevelType w:val="hybridMultilevel"/>
    <w:tmpl w:val="2B54A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F53844"/>
    <w:multiLevelType w:val="hybridMultilevel"/>
    <w:tmpl w:val="7F683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7E4ED7"/>
    <w:multiLevelType w:val="hybridMultilevel"/>
    <w:tmpl w:val="85A6C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B74545"/>
    <w:multiLevelType w:val="hybridMultilevel"/>
    <w:tmpl w:val="ECB8CDDE"/>
    <w:lvl w:ilvl="0" w:tplc="AAA289C0">
      <w:start w:val="1"/>
      <w:numFmt w:val="upperRoman"/>
      <w:lvlText w:val="%1."/>
      <w:lvlJc w:val="right"/>
      <w:pPr>
        <w:ind w:left="360" w:hanging="360"/>
      </w:pPr>
      <w:rPr>
        <w:rFonts w:hint="default"/>
      </w:rPr>
    </w:lvl>
    <w:lvl w:ilvl="1" w:tplc="040C001B">
      <w:start w:val="1"/>
      <w:numFmt w:val="lowerRoman"/>
      <w:lvlText w:val="%2."/>
      <w:lvlJc w:val="right"/>
      <w:pPr>
        <w:ind w:left="1080" w:hanging="360"/>
      </w:pPr>
      <w:rPr>
        <w:rFonts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0C336D2"/>
    <w:multiLevelType w:val="hybridMultilevel"/>
    <w:tmpl w:val="AD8C8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5D5935"/>
    <w:multiLevelType w:val="hybridMultilevel"/>
    <w:tmpl w:val="020CC61A"/>
    <w:lvl w:ilvl="0" w:tplc="0DC0017E">
      <w:start w:val="6"/>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6D19C9"/>
    <w:multiLevelType w:val="hybridMultilevel"/>
    <w:tmpl w:val="12A6CD70"/>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A31992"/>
    <w:multiLevelType w:val="hybridMultilevel"/>
    <w:tmpl w:val="7CECDBF0"/>
    <w:lvl w:ilvl="0" w:tplc="5BD2FCB6">
      <w:start w:val="4"/>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3560ED"/>
    <w:multiLevelType w:val="hybridMultilevel"/>
    <w:tmpl w:val="71E6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5FE5332"/>
    <w:multiLevelType w:val="hybridMultilevel"/>
    <w:tmpl w:val="D3A29270"/>
    <w:lvl w:ilvl="0" w:tplc="040C001B">
      <w:start w:val="1"/>
      <w:numFmt w:val="lowerRoman"/>
      <w:lvlText w:val="%1."/>
      <w:lvlJc w:val="right"/>
      <w:pPr>
        <w:ind w:left="108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BB05DF"/>
    <w:multiLevelType w:val="hybridMultilevel"/>
    <w:tmpl w:val="E174C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591FCC"/>
    <w:multiLevelType w:val="hybridMultilevel"/>
    <w:tmpl w:val="1166F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6829F9"/>
    <w:multiLevelType w:val="hybridMultilevel"/>
    <w:tmpl w:val="CECCE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333436"/>
    <w:multiLevelType w:val="hybridMultilevel"/>
    <w:tmpl w:val="5086A1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76B608E"/>
    <w:multiLevelType w:val="hybridMultilevel"/>
    <w:tmpl w:val="FC806C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8E56B9"/>
    <w:multiLevelType w:val="hybridMultilevel"/>
    <w:tmpl w:val="6B4CAC7A"/>
    <w:lvl w:ilvl="0" w:tplc="040C0001">
      <w:start w:val="1"/>
      <w:numFmt w:val="bullet"/>
      <w:lvlText w:val=""/>
      <w:lvlJc w:val="left"/>
      <w:pPr>
        <w:ind w:left="490" w:hanging="360"/>
      </w:pPr>
      <w:rPr>
        <w:rFonts w:ascii="Symbol" w:hAnsi="Symbol" w:hint="default"/>
      </w:rPr>
    </w:lvl>
    <w:lvl w:ilvl="1" w:tplc="040C0003" w:tentative="1">
      <w:start w:val="1"/>
      <w:numFmt w:val="bullet"/>
      <w:lvlText w:val="o"/>
      <w:lvlJc w:val="left"/>
      <w:pPr>
        <w:ind w:left="1210" w:hanging="360"/>
      </w:pPr>
      <w:rPr>
        <w:rFonts w:ascii="Courier New" w:hAnsi="Courier New" w:cs="Courier New" w:hint="default"/>
      </w:rPr>
    </w:lvl>
    <w:lvl w:ilvl="2" w:tplc="040C0005" w:tentative="1">
      <w:start w:val="1"/>
      <w:numFmt w:val="bullet"/>
      <w:lvlText w:val=""/>
      <w:lvlJc w:val="left"/>
      <w:pPr>
        <w:ind w:left="1930" w:hanging="360"/>
      </w:pPr>
      <w:rPr>
        <w:rFonts w:ascii="Wingdings" w:hAnsi="Wingdings" w:hint="default"/>
      </w:rPr>
    </w:lvl>
    <w:lvl w:ilvl="3" w:tplc="040C0001" w:tentative="1">
      <w:start w:val="1"/>
      <w:numFmt w:val="bullet"/>
      <w:lvlText w:val=""/>
      <w:lvlJc w:val="left"/>
      <w:pPr>
        <w:ind w:left="2650" w:hanging="360"/>
      </w:pPr>
      <w:rPr>
        <w:rFonts w:ascii="Symbol" w:hAnsi="Symbol" w:hint="default"/>
      </w:rPr>
    </w:lvl>
    <w:lvl w:ilvl="4" w:tplc="040C0003" w:tentative="1">
      <w:start w:val="1"/>
      <w:numFmt w:val="bullet"/>
      <w:lvlText w:val="o"/>
      <w:lvlJc w:val="left"/>
      <w:pPr>
        <w:ind w:left="3370" w:hanging="360"/>
      </w:pPr>
      <w:rPr>
        <w:rFonts w:ascii="Courier New" w:hAnsi="Courier New" w:cs="Courier New" w:hint="default"/>
      </w:rPr>
    </w:lvl>
    <w:lvl w:ilvl="5" w:tplc="040C0005" w:tentative="1">
      <w:start w:val="1"/>
      <w:numFmt w:val="bullet"/>
      <w:lvlText w:val=""/>
      <w:lvlJc w:val="left"/>
      <w:pPr>
        <w:ind w:left="4090" w:hanging="360"/>
      </w:pPr>
      <w:rPr>
        <w:rFonts w:ascii="Wingdings" w:hAnsi="Wingdings" w:hint="default"/>
      </w:rPr>
    </w:lvl>
    <w:lvl w:ilvl="6" w:tplc="040C0001" w:tentative="1">
      <w:start w:val="1"/>
      <w:numFmt w:val="bullet"/>
      <w:lvlText w:val=""/>
      <w:lvlJc w:val="left"/>
      <w:pPr>
        <w:ind w:left="4810" w:hanging="360"/>
      </w:pPr>
      <w:rPr>
        <w:rFonts w:ascii="Symbol" w:hAnsi="Symbol" w:hint="default"/>
      </w:rPr>
    </w:lvl>
    <w:lvl w:ilvl="7" w:tplc="040C0003" w:tentative="1">
      <w:start w:val="1"/>
      <w:numFmt w:val="bullet"/>
      <w:lvlText w:val="o"/>
      <w:lvlJc w:val="left"/>
      <w:pPr>
        <w:ind w:left="5530" w:hanging="360"/>
      </w:pPr>
      <w:rPr>
        <w:rFonts w:ascii="Courier New" w:hAnsi="Courier New" w:cs="Courier New" w:hint="default"/>
      </w:rPr>
    </w:lvl>
    <w:lvl w:ilvl="8" w:tplc="040C0005" w:tentative="1">
      <w:start w:val="1"/>
      <w:numFmt w:val="bullet"/>
      <w:lvlText w:val=""/>
      <w:lvlJc w:val="left"/>
      <w:pPr>
        <w:ind w:left="6250" w:hanging="360"/>
      </w:pPr>
      <w:rPr>
        <w:rFonts w:ascii="Wingdings" w:hAnsi="Wingdings" w:hint="default"/>
      </w:rPr>
    </w:lvl>
  </w:abstractNum>
  <w:abstractNum w:abstractNumId="27" w15:restartNumberingAfterBreak="0">
    <w:nsid w:val="5A930251"/>
    <w:multiLevelType w:val="hybridMultilevel"/>
    <w:tmpl w:val="A82AF198"/>
    <w:lvl w:ilvl="0" w:tplc="B47A4F96">
      <w:start w:val="7"/>
      <w:numFmt w:val="lowerLetter"/>
      <w:lvlText w:val="%1."/>
      <w:lvlJc w:val="left"/>
      <w:pPr>
        <w:ind w:left="1080" w:hanging="360"/>
      </w:pPr>
      <w:rPr>
        <w:rFonts w:hint="default"/>
      </w:rPr>
    </w:lvl>
    <w:lvl w:ilvl="1" w:tplc="040C001B">
      <w:start w:val="1"/>
      <w:numFmt w:val="lowerRoman"/>
      <w:lvlText w:val="%2."/>
      <w:lvlJc w:val="righ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BE5C5B"/>
    <w:multiLevelType w:val="hybridMultilevel"/>
    <w:tmpl w:val="B590F8EE"/>
    <w:lvl w:ilvl="0" w:tplc="851849AC">
      <w:start w:val="3"/>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06E29C9"/>
    <w:multiLevelType w:val="hybridMultilevel"/>
    <w:tmpl w:val="7EB8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08003F"/>
    <w:multiLevelType w:val="hybridMultilevel"/>
    <w:tmpl w:val="4B2C3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7A4C42"/>
    <w:multiLevelType w:val="hybridMultilevel"/>
    <w:tmpl w:val="9CC0F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CF0A92"/>
    <w:multiLevelType w:val="hybridMultilevel"/>
    <w:tmpl w:val="6DDE3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DE57BE"/>
    <w:multiLevelType w:val="hybridMultilevel"/>
    <w:tmpl w:val="C3008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A87011"/>
    <w:multiLevelType w:val="hybridMultilevel"/>
    <w:tmpl w:val="19B227DC"/>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7E3874CD"/>
    <w:multiLevelType w:val="hybridMultilevel"/>
    <w:tmpl w:val="760AC094"/>
    <w:lvl w:ilvl="0" w:tplc="040C0001">
      <w:start w:val="1"/>
      <w:numFmt w:val="bullet"/>
      <w:lvlText w:val=""/>
      <w:lvlJc w:val="left"/>
      <w:pPr>
        <w:ind w:left="490" w:hanging="360"/>
      </w:pPr>
      <w:rPr>
        <w:rFonts w:ascii="Symbol" w:hAnsi="Symbol" w:hint="default"/>
      </w:rPr>
    </w:lvl>
    <w:lvl w:ilvl="1" w:tplc="040C0003" w:tentative="1">
      <w:start w:val="1"/>
      <w:numFmt w:val="bullet"/>
      <w:lvlText w:val="o"/>
      <w:lvlJc w:val="left"/>
      <w:pPr>
        <w:ind w:left="1210" w:hanging="360"/>
      </w:pPr>
      <w:rPr>
        <w:rFonts w:ascii="Courier New" w:hAnsi="Courier New" w:cs="Courier New" w:hint="default"/>
      </w:rPr>
    </w:lvl>
    <w:lvl w:ilvl="2" w:tplc="040C0005" w:tentative="1">
      <w:start w:val="1"/>
      <w:numFmt w:val="bullet"/>
      <w:lvlText w:val=""/>
      <w:lvlJc w:val="left"/>
      <w:pPr>
        <w:ind w:left="1930" w:hanging="360"/>
      </w:pPr>
      <w:rPr>
        <w:rFonts w:ascii="Wingdings" w:hAnsi="Wingdings" w:hint="default"/>
      </w:rPr>
    </w:lvl>
    <w:lvl w:ilvl="3" w:tplc="040C0001" w:tentative="1">
      <w:start w:val="1"/>
      <w:numFmt w:val="bullet"/>
      <w:lvlText w:val=""/>
      <w:lvlJc w:val="left"/>
      <w:pPr>
        <w:ind w:left="2650" w:hanging="360"/>
      </w:pPr>
      <w:rPr>
        <w:rFonts w:ascii="Symbol" w:hAnsi="Symbol" w:hint="default"/>
      </w:rPr>
    </w:lvl>
    <w:lvl w:ilvl="4" w:tplc="040C0003" w:tentative="1">
      <w:start w:val="1"/>
      <w:numFmt w:val="bullet"/>
      <w:lvlText w:val="o"/>
      <w:lvlJc w:val="left"/>
      <w:pPr>
        <w:ind w:left="3370" w:hanging="360"/>
      </w:pPr>
      <w:rPr>
        <w:rFonts w:ascii="Courier New" w:hAnsi="Courier New" w:cs="Courier New" w:hint="default"/>
      </w:rPr>
    </w:lvl>
    <w:lvl w:ilvl="5" w:tplc="040C0005" w:tentative="1">
      <w:start w:val="1"/>
      <w:numFmt w:val="bullet"/>
      <w:lvlText w:val=""/>
      <w:lvlJc w:val="left"/>
      <w:pPr>
        <w:ind w:left="4090" w:hanging="360"/>
      </w:pPr>
      <w:rPr>
        <w:rFonts w:ascii="Wingdings" w:hAnsi="Wingdings" w:hint="default"/>
      </w:rPr>
    </w:lvl>
    <w:lvl w:ilvl="6" w:tplc="040C0001" w:tentative="1">
      <w:start w:val="1"/>
      <w:numFmt w:val="bullet"/>
      <w:lvlText w:val=""/>
      <w:lvlJc w:val="left"/>
      <w:pPr>
        <w:ind w:left="4810" w:hanging="360"/>
      </w:pPr>
      <w:rPr>
        <w:rFonts w:ascii="Symbol" w:hAnsi="Symbol" w:hint="default"/>
      </w:rPr>
    </w:lvl>
    <w:lvl w:ilvl="7" w:tplc="040C0003" w:tentative="1">
      <w:start w:val="1"/>
      <w:numFmt w:val="bullet"/>
      <w:lvlText w:val="o"/>
      <w:lvlJc w:val="left"/>
      <w:pPr>
        <w:ind w:left="5530" w:hanging="360"/>
      </w:pPr>
      <w:rPr>
        <w:rFonts w:ascii="Courier New" w:hAnsi="Courier New" w:cs="Courier New" w:hint="default"/>
      </w:rPr>
    </w:lvl>
    <w:lvl w:ilvl="8" w:tplc="040C0005" w:tentative="1">
      <w:start w:val="1"/>
      <w:numFmt w:val="bullet"/>
      <w:lvlText w:val=""/>
      <w:lvlJc w:val="left"/>
      <w:pPr>
        <w:ind w:left="6250" w:hanging="360"/>
      </w:pPr>
      <w:rPr>
        <w:rFonts w:ascii="Wingdings" w:hAnsi="Wingdings" w:hint="default"/>
      </w:rPr>
    </w:lvl>
  </w:abstractNum>
  <w:abstractNum w:abstractNumId="36" w15:restartNumberingAfterBreak="0">
    <w:nsid w:val="7EC10187"/>
    <w:multiLevelType w:val="hybridMultilevel"/>
    <w:tmpl w:val="8FAE8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2" w:hAnsi="Wingdings 2" w:hint="default"/>
          <w:sz w:val="141"/>
        </w:rPr>
      </w:lvl>
    </w:lvlOverride>
  </w:num>
  <w:num w:numId="2">
    <w:abstractNumId w:val="0"/>
    <w:lvlOverride w:ilvl="0">
      <w:lvl w:ilvl="0">
        <w:numFmt w:val="bullet"/>
        <w:lvlText w:val=""/>
        <w:legacy w:legacy="1" w:legacySpace="0" w:legacyIndent="0"/>
        <w:lvlJc w:val="left"/>
        <w:rPr>
          <w:rFonts w:ascii="Wingdings 2" w:hAnsi="Wingdings 2" w:hint="default"/>
          <w:sz w:val="51"/>
        </w:rPr>
      </w:lvl>
    </w:lvlOverride>
  </w:num>
  <w:num w:numId="3">
    <w:abstractNumId w:val="0"/>
    <w:lvlOverride w:ilvl="0">
      <w:lvl w:ilvl="0">
        <w:numFmt w:val="bullet"/>
        <w:lvlText w:val="◦"/>
        <w:legacy w:legacy="1" w:legacySpace="0" w:legacyIndent="0"/>
        <w:lvlJc w:val="left"/>
        <w:rPr>
          <w:rFonts w:ascii="Verdana" w:hAnsi="Verdana" w:hint="default"/>
          <w:sz w:val="56"/>
        </w:rPr>
      </w:lvl>
    </w:lvlOverride>
  </w:num>
  <w:num w:numId="4">
    <w:abstractNumId w:val="0"/>
    <w:lvlOverride w:ilvl="0">
      <w:lvl w:ilvl="0">
        <w:numFmt w:val="bullet"/>
        <w:lvlText w:val=""/>
        <w:legacy w:legacy="1" w:legacySpace="0" w:legacyIndent="0"/>
        <w:lvlJc w:val="left"/>
        <w:rPr>
          <w:rFonts w:ascii="Wingdings 2" w:hAnsi="Wingdings 2" w:hint="default"/>
          <w:sz w:val="38"/>
        </w:rPr>
      </w:lvl>
    </w:lvlOverride>
  </w:num>
  <w:num w:numId="5">
    <w:abstractNumId w:val="0"/>
    <w:lvlOverride w:ilvl="0">
      <w:lvl w:ilvl="0">
        <w:numFmt w:val="bullet"/>
        <w:lvlText w:val="◦"/>
        <w:legacy w:legacy="1" w:legacySpace="0" w:legacyIndent="0"/>
        <w:lvlJc w:val="left"/>
        <w:rPr>
          <w:rFonts w:ascii="Verdana" w:hAnsi="Verdana" w:hint="default"/>
          <w:sz w:val="40"/>
        </w:rPr>
      </w:lvl>
    </w:lvlOverride>
  </w:num>
  <w:num w:numId="6">
    <w:abstractNumId w:val="14"/>
  </w:num>
  <w:num w:numId="7">
    <w:abstractNumId w:val="7"/>
  </w:num>
  <w:num w:numId="8">
    <w:abstractNumId w:val="36"/>
  </w:num>
  <w:num w:numId="9">
    <w:abstractNumId w:val="32"/>
  </w:num>
  <w:num w:numId="10">
    <w:abstractNumId w:val="21"/>
  </w:num>
  <w:num w:numId="11">
    <w:abstractNumId w:val="8"/>
  </w:num>
  <w:num w:numId="12">
    <w:abstractNumId w:val="3"/>
  </w:num>
  <w:num w:numId="13">
    <w:abstractNumId w:val="5"/>
  </w:num>
  <w:num w:numId="14">
    <w:abstractNumId w:val="31"/>
  </w:num>
  <w:num w:numId="15">
    <w:abstractNumId w:val="4"/>
  </w:num>
  <w:num w:numId="16">
    <w:abstractNumId w:val="9"/>
  </w:num>
  <w:num w:numId="17">
    <w:abstractNumId w:val="2"/>
  </w:num>
  <w:num w:numId="18">
    <w:abstractNumId w:val="25"/>
  </w:num>
  <w:num w:numId="19">
    <w:abstractNumId w:val="28"/>
  </w:num>
  <w:num w:numId="20">
    <w:abstractNumId w:val="11"/>
  </w:num>
  <w:num w:numId="21">
    <w:abstractNumId w:val="18"/>
  </w:num>
  <w:num w:numId="22">
    <w:abstractNumId w:val="1"/>
  </w:num>
  <w:num w:numId="23">
    <w:abstractNumId w:val="12"/>
  </w:num>
  <w:num w:numId="24">
    <w:abstractNumId w:val="16"/>
  </w:num>
  <w:num w:numId="25">
    <w:abstractNumId w:val="15"/>
  </w:num>
  <w:num w:numId="26">
    <w:abstractNumId w:val="22"/>
  </w:num>
  <w:num w:numId="27">
    <w:abstractNumId w:val="27"/>
  </w:num>
  <w:num w:numId="28">
    <w:abstractNumId w:val="26"/>
  </w:num>
  <w:num w:numId="29">
    <w:abstractNumId w:val="35"/>
  </w:num>
  <w:num w:numId="30">
    <w:abstractNumId w:val="20"/>
  </w:num>
  <w:num w:numId="31">
    <w:abstractNumId w:val="17"/>
  </w:num>
  <w:num w:numId="32">
    <w:abstractNumId w:val="34"/>
  </w:num>
  <w:num w:numId="33">
    <w:abstractNumId w:val="33"/>
  </w:num>
  <w:num w:numId="34">
    <w:abstractNumId w:val="23"/>
  </w:num>
  <w:num w:numId="35">
    <w:abstractNumId w:val="6"/>
  </w:num>
  <w:num w:numId="36">
    <w:abstractNumId w:val="29"/>
  </w:num>
  <w:num w:numId="37">
    <w:abstractNumId w:val="10"/>
  </w:num>
  <w:num w:numId="38">
    <w:abstractNumId w:val="30"/>
  </w:num>
  <w:num w:numId="39">
    <w:abstractNumId w:val="19"/>
  </w:num>
  <w:num w:numId="40">
    <w:abstractNumId w:val="1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56"/>
    <w:rsid w:val="002A657F"/>
    <w:rsid w:val="002E2CEC"/>
    <w:rsid w:val="002F1356"/>
    <w:rsid w:val="0050311E"/>
    <w:rsid w:val="00514183"/>
    <w:rsid w:val="007C15F0"/>
    <w:rsid w:val="0083549B"/>
    <w:rsid w:val="00924D0F"/>
    <w:rsid w:val="009E165B"/>
    <w:rsid w:val="00AE63AA"/>
    <w:rsid w:val="00BF7B41"/>
    <w:rsid w:val="00DC253C"/>
    <w:rsid w:val="00EA00F4"/>
    <w:rsid w:val="00F935F6"/>
    <w:rsid w:val="00FB2E4E"/>
    <w:rsid w:val="00FF3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A309E6-6EE3-4D70-A864-D17B95F6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1356"/>
    <w:pPr>
      <w:tabs>
        <w:tab w:val="center" w:pos="4536"/>
        <w:tab w:val="right" w:pos="9072"/>
      </w:tabs>
      <w:spacing w:after="0" w:line="240" w:lineRule="auto"/>
    </w:pPr>
  </w:style>
  <w:style w:type="character" w:customStyle="1" w:styleId="En-tteCar">
    <w:name w:val="En-tête Car"/>
    <w:basedOn w:val="Policepardfaut"/>
    <w:link w:val="En-tte"/>
    <w:uiPriority w:val="99"/>
    <w:rsid w:val="002F1356"/>
  </w:style>
  <w:style w:type="paragraph" w:styleId="Pieddepage">
    <w:name w:val="footer"/>
    <w:basedOn w:val="Normal"/>
    <w:link w:val="PieddepageCar"/>
    <w:uiPriority w:val="99"/>
    <w:unhideWhenUsed/>
    <w:rsid w:val="002F13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1356"/>
  </w:style>
  <w:style w:type="paragraph" w:styleId="Paragraphedeliste">
    <w:name w:val="List Paragraph"/>
    <w:basedOn w:val="Normal"/>
    <w:uiPriority w:val="34"/>
    <w:qFormat/>
    <w:rsid w:val="002F1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7069">
      <w:bodyDiv w:val="1"/>
      <w:marLeft w:val="0"/>
      <w:marRight w:val="0"/>
      <w:marTop w:val="0"/>
      <w:marBottom w:val="0"/>
      <w:divBdr>
        <w:top w:val="none" w:sz="0" w:space="0" w:color="auto"/>
        <w:left w:val="none" w:sz="0" w:space="0" w:color="auto"/>
        <w:bottom w:val="none" w:sz="0" w:space="0" w:color="auto"/>
        <w:right w:val="none" w:sz="0" w:space="0" w:color="auto"/>
      </w:divBdr>
    </w:div>
    <w:div w:id="122582963">
      <w:bodyDiv w:val="1"/>
      <w:marLeft w:val="0"/>
      <w:marRight w:val="0"/>
      <w:marTop w:val="0"/>
      <w:marBottom w:val="0"/>
      <w:divBdr>
        <w:top w:val="none" w:sz="0" w:space="0" w:color="auto"/>
        <w:left w:val="none" w:sz="0" w:space="0" w:color="auto"/>
        <w:bottom w:val="none" w:sz="0" w:space="0" w:color="auto"/>
        <w:right w:val="none" w:sz="0" w:space="0" w:color="auto"/>
      </w:divBdr>
    </w:div>
    <w:div w:id="286206870">
      <w:bodyDiv w:val="1"/>
      <w:marLeft w:val="0"/>
      <w:marRight w:val="0"/>
      <w:marTop w:val="0"/>
      <w:marBottom w:val="0"/>
      <w:divBdr>
        <w:top w:val="none" w:sz="0" w:space="0" w:color="auto"/>
        <w:left w:val="none" w:sz="0" w:space="0" w:color="auto"/>
        <w:bottom w:val="none" w:sz="0" w:space="0" w:color="auto"/>
        <w:right w:val="none" w:sz="0" w:space="0" w:color="auto"/>
      </w:divBdr>
    </w:div>
    <w:div w:id="648630302">
      <w:bodyDiv w:val="1"/>
      <w:marLeft w:val="0"/>
      <w:marRight w:val="0"/>
      <w:marTop w:val="0"/>
      <w:marBottom w:val="0"/>
      <w:divBdr>
        <w:top w:val="none" w:sz="0" w:space="0" w:color="auto"/>
        <w:left w:val="none" w:sz="0" w:space="0" w:color="auto"/>
        <w:bottom w:val="none" w:sz="0" w:space="0" w:color="auto"/>
        <w:right w:val="none" w:sz="0" w:space="0" w:color="auto"/>
      </w:divBdr>
    </w:div>
    <w:div w:id="824050769">
      <w:bodyDiv w:val="1"/>
      <w:marLeft w:val="0"/>
      <w:marRight w:val="0"/>
      <w:marTop w:val="0"/>
      <w:marBottom w:val="0"/>
      <w:divBdr>
        <w:top w:val="none" w:sz="0" w:space="0" w:color="auto"/>
        <w:left w:val="none" w:sz="0" w:space="0" w:color="auto"/>
        <w:bottom w:val="none" w:sz="0" w:space="0" w:color="auto"/>
        <w:right w:val="none" w:sz="0" w:space="0" w:color="auto"/>
      </w:divBdr>
    </w:div>
    <w:div w:id="879054138">
      <w:bodyDiv w:val="1"/>
      <w:marLeft w:val="0"/>
      <w:marRight w:val="0"/>
      <w:marTop w:val="0"/>
      <w:marBottom w:val="0"/>
      <w:divBdr>
        <w:top w:val="none" w:sz="0" w:space="0" w:color="auto"/>
        <w:left w:val="none" w:sz="0" w:space="0" w:color="auto"/>
        <w:bottom w:val="none" w:sz="0" w:space="0" w:color="auto"/>
        <w:right w:val="none" w:sz="0" w:space="0" w:color="auto"/>
      </w:divBdr>
    </w:div>
    <w:div w:id="976641423">
      <w:bodyDiv w:val="1"/>
      <w:marLeft w:val="0"/>
      <w:marRight w:val="0"/>
      <w:marTop w:val="0"/>
      <w:marBottom w:val="0"/>
      <w:divBdr>
        <w:top w:val="none" w:sz="0" w:space="0" w:color="auto"/>
        <w:left w:val="none" w:sz="0" w:space="0" w:color="auto"/>
        <w:bottom w:val="none" w:sz="0" w:space="0" w:color="auto"/>
        <w:right w:val="none" w:sz="0" w:space="0" w:color="auto"/>
      </w:divBdr>
    </w:div>
    <w:div w:id="1128863860">
      <w:bodyDiv w:val="1"/>
      <w:marLeft w:val="0"/>
      <w:marRight w:val="0"/>
      <w:marTop w:val="0"/>
      <w:marBottom w:val="0"/>
      <w:divBdr>
        <w:top w:val="none" w:sz="0" w:space="0" w:color="auto"/>
        <w:left w:val="none" w:sz="0" w:space="0" w:color="auto"/>
        <w:bottom w:val="none" w:sz="0" w:space="0" w:color="auto"/>
        <w:right w:val="none" w:sz="0" w:space="0" w:color="auto"/>
      </w:divBdr>
    </w:div>
    <w:div w:id="1380209225">
      <w:bodyDiv w:val="1"/>
      <w:marLeft w:val="0"/>
      <w:marRight w:val="0"/>
      <w:marTop w:val="0"/>
      <w:marBottom w:val="0"/>
      <w:divBdr>
        <w:top w:val="none" w:sz="0" w:space="0" w:color="auto"/>
        <w:left w:val="none" w:sz="0" w:space="0" w:color="auto"/>
        <w:bottom w:val="none" w:sz="0" w:space="0" w:color="auto"/>
        <w:right w:val="none" w:sz="0" w:space="0" w:color="auto"/>
      </w:divBdr>
    </w:div>
    <w:div w:id="1807353765">
      <w:bodyDiv w:val="1"/>
      <w:marLeft w:val="0"/>
      <w:marRight w:val="0"/>
      <w:marTop w:val="0"/>
      <w:marBottom w:val="0"/>
      <w:divBdr>
        <w:top w:val="none" w:sz="0" w:space="0" w:color="auto"/>
        <w:left w:val="none" w:sz="0" w:space="0" w:color="auto"/>
        <w:bottom w:val="none" w:sz="0" w:space="0" w:color="auto"/>
        <w:right w:val="none" w:sz="0" w:space="0" w:color="auto"/>
      </w:divBdr>
    </w:div>
    <w:div w:id="19978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B7EF95B6ED4B44AC812C358A5D9409"/>
        <w:category>
          <w:name w:val="Général"/>
          <w:gallery w:val="placeholder"/>
        </w:category>
        <w:types>
          <w:type w:val="bbPlcHdr"/>
        </w:types>
        <w:behaviors>
          <w:behavior w:val="content"/>
        </w:behaviors>
        <w:guid w:val="{B1E80D2F-CDA7-44C4-9BF4-CFBCF14C0E56}"/>
      </w:docPartPr>
      <w:docPartBody>
        <w:p w:rsidR="000874DF" w:rsidRDefault="000874DF" w:rsidP="000874DF">
          <w:pPr>
            <w:pStyle w:val="B5B7EF95B6ED4B44AC812C358A5D9409"/>
          </w:pPr>
          <w:r>
            <w:rPr>
              <w:caps/>
              <w:color w:val="5B9BD5" w:themeColor="accent1"/>
            </w:rPr>
            <w:t>[Titre du document]</w:t>
          </w:r>
        </w:p>
      </w:docPartBody>
    </w:docPart>
    <w:docPart>
      <w:docPartPr>
        <w:name w:val="F7CA6B5C05064A6D96D10D89E97B193F"/>
        <w:category>
          <w:name w:val="Général"/>
          <w:gallery w:val="placeholder"/>
        </w:category>
        <w:types>
          <w:type w:val="bbPlcHdr"/>
        </w:types>
        <w:behaviors>
          <w:behavior w:val="content"/>
        </w:behaviors>
        <w:guid w:val="{2B2076FC-D747-4430-8B0E-1959917C70C6}"/>
      </w:docPartPr>
      <w:docPartBody>
        <w:p w:rsidR="00000000" w:rsidRDefault="00906036" w:rsidP="00906036">
          <w:pPr>
            <w:pStyle w:val="F7CA6B5C05064A6D96D10D89E97B193F"/>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DF"/>
    <w:rsid w:val="000874DF"/>
    <w:rsid w:val="0077732A"/>
    <w:rsid w:val="00906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4FE87E167A047F7BDF500070F1FA6FD">
    <w:name w:val="74FE87E167A047F7BDF500070F1FA6FD"/>
    <w:rsid w:val="000874DF"/>
  </w:style>
  <w:style w:type="paragraph" w:customStyle="1" w:styleId="B5B7EF95B6ED4B44AC812C358A5D9409">
    <w:name w:val="B5B7EF95B6ED4B44AC812C358A5D9409"/>
    <w:rsid w:val="000874DF"/>
  </w:style>
  <w:style w:type="paragraph" w:customStyle="1" w:styleId="F7CA6B5C05064A6D96D10D89E97B193F">
    <w:name w:val="F7CA6B5C05064A6D96D10D89E97B193F"/>
    <w:rsid w:val="00906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6</Pages>
  <Words>2445</Words>
  <Characters>13452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Etomidate (Hypnomidate®)</vt:lpstr>
    </vt:vector>
  </TitlesOfParts>
  <Company/>
  <LinksUpToDate>false</LinksUpToDate>
  <CharactersWithSpaces>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Etomidate (Hypnomidate®)</dc:title>
  <dc:subject/>
  <dc:creator>BENELMIR Med Salah- pepm</dc:creator>
  <cp:keywords/>
  <dc:description/>
  <cp:lastModifiedBy>BENELMIR Med Salah</cp:lastModifiedBy>
  <cp:revision>4</cp:revision>
  <dcterms:created xsi:type="dcterms:W3CDTF">2016-12-01T06:54:00Z</dcterms:created>
  <dcterms:modified xsi:type="dcterms:W3CDTF">2016-12-12T17:07:00Z</dcterms:modified>
</cp:coreProperties>
</file>